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1888" w:rsidRDefault="0041688B" w14:paraId="6D56AAF5" w14:textId="77777777">
      <w:pPr>
        <w:pStyle w:val="Heading2"/>
        <w:spacing w:after="0"/>
      </w:pPr>
      <w:r>
        <w:t xml:space="preserve">Week 4: Differentiation of Cow </w:t>
      </w:r>
      <w:r>
        <w:rPr>
          <w:rFonts w:ascii="Quattrocento Sans" w:hAnsi="Quattrocento Sans" w:eastAsia="Quattrocento Sans" w:cs="Quattrocento Sans"/>
        </w:rPr>
        <w:t xml:space="preserve">🐄 </w:t>
      </w:r>
      <w:r>
        <w:t>Muscle and Porcine Fat Cells</w:t>
      </w:r>
    </w:p>
    <w:p w:rsidR="00BC1888" w:rsidRDefault="1D012A60" w14:paraId="5E74E4C0" w14:textId="724D0C97">
      <w:r w:rsidRPr="1D012A60">
        <w:rPr>
          <w:b/>
          <w:bCs/>
        </w:rPr>
        <w:t>Date: February 8, 2024</w:t>
      </w:r>
    </w:p>
    <w:p w:rsidR="00BC1888" w:rsidRDefault="0041688B" w14:paraId="19186DFD" w14:textId="77777777">
      <w:pPr>
        <w:pStyle w:val="Heading2"/>
      </w:pPr>
      <w:r>
        <w:t>Objectives, Hypotheses, Background</w:t>
      </w:r>
    </w:p>
    <w:p w:rsidR="00BC1888" w:rsidRDefault="0041688B" w14:paraId="67190DB0" w14:textId="77777777">
      <w:r>
        <w:t xml:space="preserve">Let’s confirm that the cells we’ve isolated are indeed muscle/fat! </w:t>
      </w:r>
    </w:p>
    <w:p w:rsidR="00BC1888" w:rsidRDefault="0041688B" w14:paraId="25C6E39B" w14:textId="77777777">
      <w:r>
        <w:t xml:space="preserve">For muscle </w:t>
      </w:r>
      <w:r>
        <w:rPr>
          <w:rFonts w:ascii="Quattrocento Sans" w:hAnsi="Quattrocento Sans" w:eastAsia="Quattrocento Sans" w:cs="Quattrocento Sans"/>
        </w:rPr>
        <w:t>💪</w:t>
      </w:r>
      <w:r>
        <w:t>, this should be straightforward. We typically use two differentiation techniques, serum starvation (cessation of feeding at 90-100% confluence) and serum reduction (lower FBS concentration to 2% then feed regularly). We will compare these two differentiation regimes.</w:t>
      </w:r>
    </w:p>
    <w:p w:rsidR="00BC1888" w:rsidRDefault="032700DF" w14:paraId="594F8B80" w14:textId="2E3B20A5">
      <w:r>
        <w:t xml:space="preserve">For adipose </w:t>
      </w:r>
      <w:r w:rsidRPr="032700DF">
        <w:rPr>
          <w:rFonts w:ascii="Quattrocento Sans" w:hAnsi="Quattrocento Sans" w:eastAsia="Quattrocento Sans" w:cs="Quattrocento Sans"/>
        </w:rPr>
        <w:t>🧈</w:t>
      </w:r>
      <w:r>
        <w:t>, things are more complicated. Bovine (and ruminant) adipogenesis and fat biology is less well understood. Typically, differentiation regimes (e.g., culture media formulations) used with human/pig/rodent cells do not work as well when applied to cow cells.</w:t>
      </w:r>
      <w:r w:rsidRPr="032700DF">
        <w:rPr>
          <w:rFonts w:eastAsia="Calibri"/>
          <w:color w:val="000000" w:themeColor="text1"/>
        </w:rPr>
        <w:t xml:space="preserve"> Thus, in this class we will screen varying differentiation media and feeding regimes.</w:t>
      </w:r>
      <w:r w:rsidRPr="032700DF">
        <w:rPr>
          <w:rFonts w:eastAsia="Calibri"/>
        </w:rPr>
        <w:t xml:space="preserve"> </w:t>
      </w:r>
    </w:p>
    <w:p w:rsidR="00BC1888" w:rsidRDefault="0041688B" w14:paraId="38703F80" w14:textId="77777777">
      <w:r>
        <w:t xml:space="preserve">Fat cell differentiation </w:t>
      </w:r>
      <w:r>
        <w:rPr>
          <w:b/>
        </w:rPr>
        <w:t>usually</w:t>
      </w:r>
      <w:r>
        <w:t xml:space="preserve"> involves two culture media. See this example from a paper the Kaplan Lab has published:</w:t>
      </w:r>
    </w:p>
    <w:p w:rsidR="00BC1888" w:rsidRDefault="0041688B" w14:paraId="672A6659" w14:textId="77777777">
      <w:r>
        <w:rPr>
          <w:noProof/>
        </w:rPr>
        <w:drawing>
          <wp:inline distT="0" distB="0" distL="0" distR="0" wp14:anchorId="078AA2EB" wp14:editId="07777777">
            <wp:extent cx="5943600" cy="4559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55930"/>
                    </a:xfrm>
                    <a:prstGeom prst="rect">
                      <a:avLst/>
                    </a:prstGeom>
                    <a:ln/>
                  </pic:spPr>
                </pic:pic>
              </a:graphicData>
            </a:graphic>
          </wp:inline>
        </w:drawing>
      </w:r>
    </w:p>
    <w:p w:rsidR="00BC1888" w:rsidRDefault="0041688B" w14:paraId="15B358F3" w14:textId="77777777">
      <w:r>
        <w:t xml:space="preserve">We will try varying both the culture media and the timing of the induction/accumulation media. Usually, the induction media is high in </w:t>
      </w:r>
      <w:proofErr w:type="spellStart"/>
      <w:r>
        <w:t>adipogenic</w:t>
      </w:r>
      <w:proofErr w:type="spellEnd"/>
      <w:r>
        <w:t xml:space="preserve"> factors to kickstart adipogenesis, after which only a pared down accumulation media is necessary.</w:t>
      </w:r>
    </w:p>
    <w:p w:rsidR="00BC1888" w:rsidRDefault="0041688B" w14:paraId="597FD0A6" w14:textId="77777777">
      <w:pPr>
        <w:rPr>
          <w:u w:val="single"/>
        </w:rPr>
      </w:pPr>
      <w:r>
        <w:rPr>
          <w:u w:val="single"/>
        </w:rPr>
        <w:t xml:space="preserve">Negative Control – No Lipid Accumulation </w:t>
      </w:r>
      <w:proofErr w:type="gramStart"/>
      <w:r>
        <w:rPr>
          <w:u w:val="single"/>
        </w:rPr>
        <w:t>expected</w:t>
      </w:r>
      <w:proofErr w:type="gramEnd"/>
    </w:p>
    <w:p w:rsidR="00BC1888" w:rsidRDefault="0041688B" w14:paraId="0FBBE367" w14:textId="77777777">
      <w:r>
        <w:t>Just feed with BSC-GM. There will be no PPARG agonists, so we do not expect lipid accumulation.</w:t>
      </w:r>
    </w:p>
    <w:p w:rsidR="00BC1888" w:rsidRDefault="0041688B" w14:paraId="60AAEA6C" w14:textId="77777777">
      <w:pPr>
        <w:rPr>
          <w:u w:val="single"/>
        </w:rPr>
      </w:pPr>
      <w:r>
        <w:rPr>
          <w:u w:val="single"/>
        </w:rPr>
        <w:t>Differentiation Strategy 1 – Conventional Differentiation Regime:</w:t>
      </w:r>
    </w:p>
    <w:p w:rsidR="00BC1888" w:rsidRDefault="0041688B" w14:paraId="644E6AFF" w14:textId="77777777">
      <w:r>
        <w:t>Sort of our positive control group, this will be roughly what’s usually given to fat cells.</w:t>
      </w:r>
    </w:p>
    <w:p w:rsidR="00BC1888" w:rsidRDefault="0041688B" w14:paraId="3345AEDF" w14:textId="77777777">
      <w:r>
        <w:rPr>
          <w:b/>
        </w:rPr>
        <w:t>Induction Media (2-3 Days):</w:t>
      </w:r>
      <w:r>
        <w:t xml:space="preserve"> DMEM + 10% FBS + 10 ug/ml Insulin + 1 </w:t>
      </w:r>
      <w:proofErr w:type="spellStart"/>
      <w:r>
        <w:t>uM</w:t>
      </w:r>
      <w:proofErr w:type="spellEnd"/>
      <w:r>
        <w:t xml:space="preserve"> Dexamethasone + 0.5 mM </w:t>
      </w:r>
      <w:proofErr w:type="spellStart"/>
      <w:r>
        <w:t>isobutylmethylxantine</w:t>
      </w:r>
      <w:proofErr w:type="spellEnd"/>
      <w:r>
        <w:t xml:space="preserve"> (IBMX) + 2 </w:t>
      </w:r>
      <w:proofErr w:type="spellStart"/>
      <w:r>
        <w:t>uM</w:t>
      </w:r>
      <w:proofErr w:type="spellEnd"/>
      <w:r>
        <w:t xml:space="preserve"> Rosiglitazone. We will refer to this media as DM1-ind.</w:t>
      </w:r>
    </w:p>
    <w:p w:rsidR="00BC1888" w:rsidRDefault="0041688B" w14:paraId="79A08ABE" w14:textId="77777777">
      <w:r>
        <w:rPr>
          <w:b/>
        </w:rPr>
        <w:t xml:space="preserve">Accumulation Media (Rest of the time): </w:t>
      </w:r>
      <w:r>
        <w:t>DMEM + 10% FBS + Insulin. We will refer to this media as DM1-acc.</w:t>
      </w:r>
    </w:p>
    <w:p w:rsidR="00BC1888" w:rsidRDefault="0041688B" w14:paraId="44BF7ED4" w14:textId="77777777">
      <w:pPr>
        <w:rPr>
          <w:rFonts w:eastAsia="Calibri"/>
          <w:color w:val="000000"/>
        </w:rPr>
      </w:pPr>
      <w:r>
        <w:rPr>
          <w:rFonts w:eastAsia="Calibri"/>
          <w:color w:val="000000"/>
          <w:u w:val="single"/>
        </w:rPr>
        <w:t>Differentiation Strategy 2 – Serum Free + Ascorbic Acid-Based Differentiation:</w:t>
      </w:r>
    </w:p>
    <w:p w:rsidR="00BC1888" w:rsidRDefault="0041688B" w14:paraId="760A1B91" w14:textId="77777777">
      <w:pPr>
        <w:rPr>
          <w:rFonts w:eastAsia="Calibri"/>
          <w:color w:val="000000"/>
        </w:rPr>
      </w:pPr>
      <w:r>
        <w:rPr>
          <w:rFonts w:eastAsia="Calibri"/>
          <w:color w:val="000000"/>
        </w:rPr>
        <w:t>From Jurek et al, they discovered that 1) a lower concentration induction media worked fine; and 2) Lipid accumulation worked better sans FBS. They used bovine serum lipids though, still from the animal. The bovine serum lipids aren’t readily available, so we’re going to try with Intralipid, a soybean oil based medical lipid emulsion (usually</w:t>
      </w:r>
      <w:r>
        <w:t xml:space="preserve"> administered intravenously</w:t>
      </w:r>
      <w:r>
        <w:rPr>
          <w:rFonts w:eastAsia="Calibri"/>
          <w:color w:val="000000"/>
        </w:rPr>
        <w:t>).</w:t>
      </w:r>
    </w:p>
    <w:p w:rsidR="00BC1888" w:rsidRDefault="0041688B" w14:paraId="146116AC" w14:textId="77777777">
      <w:pPr>
        <w:rPr>
          <w:rFonts w:eastAsia="Calibri"/>
          <w:color w:val="000000"/>
        </w:rPr>
      </w:pPr>
      <w:r>
        <w:rPr>
          <w:rFonts w:eastAsia="Calibri"/>
          <w:b/>
          <w:color w:val="000000"/>
        </w:rPr>
        <w:t>Induction Media (2 Days):</w:t>
      </w:r>
      <w:r>
        <w:rPr>
          <w:rFonts w:eastAsia="Calibri"/>
          <w:color w:val="000000"/>
        </w:rPr>
        <w:t xml:space="preserve"> DMEM, 10% FBS, biotin (10 µM), pantothenate (5.67 </w:t>
      </w:r>
      <w:proofErr w:type="spellStart"/>
      <w:r>
        <w:rPr>
          <w:rFonts w:eastAsia="Calibri"/>
          <w:color w:val="000000"/>
        </w:rPr>
        <w:t>uM</w:t>
      </w:r>
      <w:proofErr w:type="spellEnd"/>
      <w:r>
        <w:rPr>
          <w:rFonts w:eastAsia="Calibri"/>
          <w:color w:val="000000"/>
        </w:rPr>
        <w:t xml:space="preserve">), insulin (3 µg/mL), dexamethasone (0.3 µM), IBMX (0.1 mM), rosiglitazone (10 µM). </w:t>
      </w:r>
      <w:r>
        <w:t>We will refer to this media as DM2-ind.</w:t>
      </w:r>
    </w:p>
    <w:p w:rsidR="00BC1888" w:rsidRDefault="032700DF" w14:paraId="17F908C7" w14:textId="77777777">
      <w:pPr>
        <w:rPr>
          <w:rFonts w:eastAsia="Calibri"/>
          <w:color w:val="000000"/>
        </w:rPr>
      </w:pPr>
      <w:r w:rsidRPr="032700DF">
        <w:rPr>
          <w:rFonts w:eastAsia="Calibri"/>
          <w:b/>
          <w:bCs/>
          <w:color w:val="000000" w:themeColor="text1"/>
        </w:rPr>
        <w:t xml:space="preserve">Accumulation Media (Rest of the time): </w:t>
      </w:r>
      <w:r w:rsidRPr="032700DF">
        <w:rPr>
          <w:rFonts w:eastAsia="Calibri"/>
          <w:color w:val="000000" w:themeColor="text1"/>
        </w:rPr>
        <w:t xml:space="preserve">DMEM, 0% FBS, insulin (3 µg/mL), biotin (10 µM), 113 </w:t>
      </w:r>
      <w:proofErr w:type="spellStart"/>
      <w:r w:rsidRPr="032700DF">
        <w:rPr>
          <w:rFonts w:eastAsia="Calibri"/>
          <w:color w:val="000000" w:themeColor="text1"/>
        </w:rPr>
        <w:t>uM</w:t>
      </w:r>
      <w:proofErr w:type="spellEnd"/>
      <w:r w:rsidRPr="032700DF">
        <w:rPr>
          <w:rFonts w:eastAsia="Calibri"/>
          <w:color w:val="000000" w:themeColor="text1"/>
        </w:rPr>
        <w:t xml:space="preserve"> ascorbic acid, 500 ug/mL Intralipid. </w:t>
      </w:r>
      <w:r>
        <w:t>We will refer to this media as DM2-acc.</w:t>
      </w:r>
    </w:p>
    <w:p w:rsidR="00BC1888" w:rsidRDefault="00000000" w14:paraId="0A37501D" w14:textId="77777777">
      <w:r>
        <w:pict w14:anchorId="14DE11B9">
          <v:rect id="_x0000_i1025" style="width:0;height:1.5pt" o:hr="t" o:hrstd="t" o:hralign="center" fillcolor="#a0a0a0" stroked="f"/>
        </w:pict>
      </w:r>
    </w:p>
    <w:p w:rsidR="00BC1888" w:rsidRDefault="0041688B" w14:paraId="6BC778B7" w14:textId="77777777">
      <w:pPr>
        <w:pStyle w:val="Heading2"/>
        <w:rPr>
          <w:rFonts w:eastAsia="Calibri"/>
          <w:color w:val="000000"/>
        </w:rPr>
      </w:pPr>
      <w:r>
        <w:t>Materials Required</w:t>
      </w:r>
    </w:p>
    <w:p w:rsidR="00BC1888" w:rsidRDefault="032700DF" w14:paraId="33F885A3" w14:textId="2C79E929">
      <w:pPr>
        <w:numPr>
          <w:ilvl w:val="0"/>
          <w:numId w:val="2"/>
        </w:numPr>
        <w:spacing w:after="0"/>
      </w:pPr>
      <w:proofErr w:type="spellStart"/>
      <w:r>
        <w:t>Adipogenic</w:t>
      </w:r>
      <w:proofErr w:type="spellEnd"/>
      <w:r>
        <w:t xml:space="preserve"> Differentiation Media: DM1-ind, DM1-acc, DM2-ind, DM2-acc</w:t>
      </w:r>
    </w:p>
    <w:p w:rsidR="00BC1888" w:rsidRDefault="0041688B" w14:paraId="5E98317E" w14:textId="77777777">
      <w:pPr>
        <w:numPr>
          <w:ilvl w:val="0"/>
          <w:numId w:val="2"/>
        </w:numPr>
        <w:spacing w:after="0"/>
        <w:rPr>
          <w:rFonts w:eastAsia="Calibri"/>
        </w:rPr>
      </w:pPr>
      <w:r>
        <w:rPr>
          <w:rFonts w:eastAsia="Calibri"/>
        </w:rPr>
        <w:t>Myogenic Differentiation Media: 2% FBS</w:t>
      </w:r>
    </w:p>
    <w:p w:rsidR="00BC1888" w:rsidRDefault="0041688B" w14:paraId="73E7C16D" w14:textId="77777777">
      <w:pPr>
        <w:numPr>
          <w:ilvl w:val="0"/>
          <w:numId w:val="2"/>
        </w:numPr>
        <w:rPr>
          <w:rFonts w:eastAsia="Calibri"/>
        </w:rPr>
      </w:pPr>
      <w:r>
        <w:rPr>
          <w:rFonts w:eastAsia="Calibri"/>
        </w:rPr>
        <w:t>12 well plate with cells</w:t>
      </w:r>
    </w:p>
    <w:p w:rsidR="00BC1888" w:rsidRDefault="0041688B" w14:paraId="5266CC75" w14:textId="77777777">
      <w:pPr>
        <w:pStyle w:val="Heading2"/>
        <w:rPr>
          <w:rFonts w:eastAsia="Calibri"/>
          <w:color w:val="000000"/>
        </w:rPr>
      </w:pPr>
      <w:r>
        <w:t>Protocol/Procedure</w:t>
      </w:r>
    </w:p>
    <w:p w:rsidR="00BC1888" w:rsidRDefault="0041688B" w14:paraId="1BF49A8E" w14:textId="77777777">
      <w:pPr>
        <w:numPr>
          <w:ilvl w:val="0"/>
          <w:numId w:val="1"/>
        </w:numPr>
        <w:pBdr>
          <w:top w:val="nil"/>
          <w:left w:val="nil"/>
          <w:bottom w:val="nil"/>
          <w:right w:val="nil"/>
          <w:between w:val="nil"/>
        </w:pBdr>
        <w:rPr>
          <w:rFonts w:eastAsia="Calibri"/>
          <w:color w:val="000000"/>
        </w:rPr>
      </w:pPr>
      <w:r>
        <w:rPr>
          <w:rFonts w:eastAsia="Calibri"/>
          <w:color w:val="000000"/>
        </w:rPr>
        <w:t xml:space="preserve">Have a look at the various cells in the 12 well </w:t>
      </w:r>
      <w:proofErr w:type="gramStart"/>
      <w:r>
        <w:rPr>
          <w:rFonts w:eastAsia="Calibri"/>
          <w:color w:val="000000"/>
        </w:rPr>
        <w:t>plate</w:t>
      </w:r>
      <w:proofErr w:type="gramEnd"/>
      <w:r>
        <w:rPr>
          <w:rFonts w:eastAsia="Calibri"/>
          <w:color w:val="000000"/>
        </w:rPr>
        <w:t xml:space="preserve"> under the microscope. Take picture</w:t>
      </w:r>
      <w:r>
        <w:t>s</w:t>
      </w:r>
      <w:r>
        <w:rPr>
          <w:rFonts w:eastAsia="Calibri"/>
          <w:color w:val="000000"/>
        </w:rPr>
        <w:t xml:space="preserve"> and note any observations.</w:t>
      </w:r>
    </w:p>
    <w:p w:rsidR="00BC1888" w:rsidRDefault="0041688B" w14:paraId="4D53479A" w14:textId="77777777">
      <w:pPr>
        <w:rPr>
          <w:rFonts w:eastAsia="Calibri"/>
          <w:u w:val="single"/>
        </w:rPr>
      </w:pPr>
      <w:r>
        <w:rPr>
          <w:rFonts w:eastAsia="Calibri"/>
          <w:u w:val="single"/>
        </w:rPr>
        <w:t>Muscle Differentiation</w:t>
      </w:r>
    </w:p>
    <w:p w:rsidR="00BC1888" w:rsidRDefault="0041688B" w14:paraId="2F27ABD4" w14:textId="77777777">
      <w:pPr>
        <w:numPr>
          <w:ilvl w:val="0"/>
          <w:numId w:val="4"/>
        </w:numPr>
        <w:pBdr>
          <w:top w:val="nil"/>
          <w:left w:val="nil"/>
          <w:bottom w:val="nil"/>
          <w:right w:val="nil"/>
          <w:between w:val="nil"/>
        </w:pBdr>
        <w:spacing w:after="0"/>
      </w:pPr>
      <w:r>
        <w:rPr>
          <w:rFonts w:eastAsia="Calibri"/>
          <w:color w:val="000000"/>
        </w:rPr>
        <w:t>Divide your 4 satellite cell wells into 2 groups (two wells each) -- serum starvation and serum reduction (Fig. 1).</w:t>
      </w:r>
    </w:p>
    <w:p w:rsidR="00BC1888" w:rsidRDefault="0041688B" w14:paraId="6377627B" w14:textId="77777777">
      <w:pPr>
        <w:numPr>
          <w:ilvl w:val="0"/>
          <w:numId w:val="4"/>
        </w:numPr>
        <w:pBdr>
          <w:top w:val="nil"/>
          <w:left w:val="nil"/>
          <w:bottom w:val="nil"/>
          <w:right w:val="nil"/>
          <w:between w:val="nil"/>
        </w:pBdr>
        <w:spacing w:after="0"/>
      </w:pPr>
      <w:r>
        <w:rPr>
          <w:rFonts w:eastAsia="Calibri"/>
          <w:color w:val="000000"/>
        </w:rPr>
        <w:t>Feed cells on appropriate regimes</w:t>
      </w:r>
    </w:p>
    <w:p w:rsidR="00BC1888" w:rsidP="7C7D8085" w:rsidRDefault="0041688B" w14:paraId="55A54001" w14:textId="0CE6911C">
      <w:pPr>
        <w:numPr>
          <w:ilvl w:val="1"/>
          <w:numId w:val="4"/>
        </w:numPr>
        <w:pBdr>
          <w:top w:val="nil" w:color="000000" w:sz="0" w:space="0"/>
          <w:left w:val="nil" w:color="000000" w:sz="0" w:space="0"/>
          <w:bottom w:val="nil" w:color="000000" w:sz="0" w:space="0"/>
          <w:right w:val="nil" w:color="000000" w:sz="0" w:space="0"/>
          <w:between w:val="nil" w:color="000000" w:sz="0" w:space="0"/>
        </w:pBdr>
        <w:spacing w:after="0"/>
        <w:rPr>
          <w:rFonts w:eastAsia="Calibri"/>
          <w:color w:val="000000"/>
        </w:rPr>
      </w:pPr>
      <w:r w:rsidRPr="7C7D8085" w:rsidR="7C7D8085">
        <w:rPr>
          <w:rFonts w:eastAsia="Calibri"/>
          <w:color w:val="000000" w:themeColor="text1" w:themeTint="FF" w:themeShade="FF"/>
        </w:rPr>
        <w:t>To the serum starvation group, feed one last time with growth media when the cells are ~90-100% confluent. Do not feed again until next class.</w:t>
      </w:r>
    </w:p>
    <w:p w:rsidR="00BC1888" w:rsidP="50F2BA97" w:rsidRDefault="50F2BA97" w14:paraId="19E8E3C2" w14:textId="239E7D0B">
      <w:pPr>
        <w:numPr>
          <w:ilvl w:val="1"/>
          <w:numId w:val="4"/>
        </w:numPr>
        <w:pBdr>
          <w:top w:val="nil"/>
          <w:left w:val="nil"/>
          <w:bottom w:val="nil"/>
          <w:right w:val="nil"/>
          <w:between w:val="nil"/>
        </w:pBdr>
        <w:spacing w:after="0"/>
        <w:rPr>
          <w:rFonts w:eastAsia="Calibri"/>
          <w:color w:val="000000" w:themeColor="text1"/>
        </w:rPr>
      </w:pPr>
      <w:r w:rsidRPr="50F2BA97">
        <w:rPr>
          <w:rFonts w:eastAsia="Calibri"/>
          <w:color w:val="000000" w:themeColor="text1"/>
        </w:rPr>
        <w:t>For serum reduction cells, feed with 2% FBS muscle differentiation medium on a Thurs, Sun, Tues schedule.</w:t>
      </w:r>
    </w:p>
    <w:p w:rsidR="00BC1888" w:rsidRDefault="0041688B" w14:paraId="5F84EB32" w14:textId="77777777">
      <w:pPr>
        <w:numPr>
          <w:ilvl w:val="1"/>
          <w:numId w:val="4"/>
        </w:numPr>
        <w:pBdr>
          <w:top w:val="nil"/>
          <w:left w:val="nil"/>
          <w:bottom w:val="nil"/>
          <w:right w:val="nil"/>
          <w:between w:val="nil"/>
        </w:pBdr>
        <w:spacing w:after="0"/>
      </w:pPr>
      <w:r>
        <w:rPr>
          <w:rFonts w:eastAsia="Calibri"/>
          <w:color w:val="000000"/>
        </w:rPr>
        <w:t xml:space="preserve">Reminders for cell </w:t>
      </w:r>
      <w:proofErr w:type="gramStart"/>
      <w:r>
        <w:rPr>
          <w:rFonts w:eastAsia="Calibri"/>
          <w:color w:val="000000"/>
        </w:rPr>
        <w:t>feeding</w:t>
      </w:r>
      <w:proofErr w:type="gramEnd"/>
    </w:p>
    <w:p w:rsidR="00BC1888" w:rsidRDefault="0041688B" w14:paraId="2F18353C" w14:textId="77777777">
      <w:pPr>
        <w:numPr>
          <w:ilvl w:val="2"/>
          <w:numId w:val="4"/>
        </w:numPr>
        <w:pBdr>
          <w:top w:val="nil"/>
          <w:left w:val="nil"/>
          <w:bottom w:val="nil"/>
          <w:right w:val="nil"/>
          <w:between w:val="nil"/>
        </w:pBdr>
        <w:spacing w:after="0"/>
      </w:pPr>
      <w:r>
        <w:rPr>
          <w:rFonts w:eastAsia="Calibri"/>
          <w:color w:val="000000"/>
        </w:rPr>
        <w:t>Gently pipette out the media without disturbing the cells at the bottom of the well</w:t>
      </w:r>
      <w:r>
        <w:t>, d</w:t>
      </w:r>
      <w:r>
        <w:rPr>
          <w:rFonts w:eastAsia="Calibri"/>
          <w:color w:val="000000"/>
        </w:rPr>
        <w:t>iscard the old media</w:t>
      </w:r>
    </w:p>
    <w:p w:rsidR="00BC1888" w:rsidRDefault="0041688B" w14:paraId="28E1AE73" w14:textId="77777777">
      <w:pPr>
        <w:numPr>
          <w:ilvl w:val="2"/>
          <w:numId w:val="4"/>
        </w:numPr>
        <w:pBdr>
          <w:top w:val="nil"/>
          <w:left w:val="nil"/>
          <w:bottom w:val="nil"/>
          <w:right w:val="nil"/>
          <w:between w:val="nil"/>
        </w:pBdr>
        <w:spacing w:after="0"/>
      </w:pPr>
      <w:r>
        <w:rPr>
          <w:rFonts w:eastAsia="Calibri"/>
          <w:color w:val="000000"/>
        </w:rPr>
        <w:t>Gently pipette new media (1 ml) into the well.</w:t>
      </w:r>
    </w:p>
    <w:p w:rsidR="00BC1888" w:rsidRDefault="0041688B" w14:paraId="48226D2B" w14:textId="77777777">
      <w:pPr>
        <w:numPr>
          <w:ilvl w:val="3"/>
          <w:numId w:val="4"/>
        </w:numPr>
        <w:pBdr>
          <w:top w:val="nil"/>
          <w:left w:val="nil"/>
          <w:bottom w:val="nil"/>
          <w:right w:val="nil"/>
          <w:between w:val="nil"/>
        </w:pBdr>
      </w:pPr>
      <w:r>
        <w:rPr>
          <w:rFonts w:eastAsia="Calibri"/>
          <w:color w:val="000000"/>
        </w:rPr>
        <w:t xml:space="preserve">Tilt the plate towards you and pipette the new media along the wall of the well. DO NOT pipette directly onto the cells on the bottom surface of the well </w:t>
      </w:r>
      <w:proofErr w:type="gramStart"/>
      <w:r>
        <w:rPr>
          <w:rFonts w:eastAsia="Calibri"/>
          <w:color w:val="000000"/>
        </w:rPr>
        <w:t>plate</w:t>
      </w:r>
      <w:proofErr w:type="gramEnd"/>
    </w:p>
    <w:p w:rsidR="00BC1888" w:rsidRDefault="0041688B" w14:paraId="1E3CB538" w14:textId="77777777">
      <w:pPr>
        <w:rPr>
          <w:rFonts w:eastAsia="Calibri"/>
          <w:u w:val="single"/>
        </w:rPr>
      </w:pPr>
      <w:r>
        <w:rPr>
          <w:rFonts w:eastAsia="Calibri"/>
          <w:u w:val="single"/>
        </w:rPr>
        <w:t>Adipose Differentiation</w:t>
      </w:r>
    </w:p>
    <w:p w:rsidR="00BC1888" w:rsidP="032700DF" w:rsidRDefault="032700DF" w14:paraId="745BF4D9" w14:textId="6BA0B20F">
      <w:pPr>
        <w:numPr>
          <w:ilvl w:val="0"/>
          <w:numId w:val="3"/>
        </w:numPr>
        <w:pBdr>
          <w:top w:val="nil"/>
          <w:left w:val="nil"/>
          <w:bottom w:val="nil"/>
          <w:right w:val="nil"/>
          <w:between w:val="nil"/>
        </w:pBdr>
        <w:spacing w:after="0"/>
        <w:rPr>
          <w:rFonts w:eastAsia="Calibri"/>
          <w:color w:val="000000"/>
        </w:rPr>
      </w:pPr>
      <w:r>
        <w:t xml:space="preserve">Obtain aliquots of each </w:t>
      </w:r>
      <w:r w:rsidRPr="032700DF">
        <w:rPr>
          <w:rFonts w:eastAsia="Calibri"/>
          <w:color w:val="000000" w:themeColor="text1"/>
        </w:rPr>
        <w:t>differentiation media (DM1-ind, DM1-acc, DM2-ind, DM2-acc)</w:t>
      </w:r>
    </w:p>
    <w:p w:rsidR="00BC1888" w:rsidRDefault="0041688B" w14:paraId="711E617F" w14:textId="77777777">
      <w:pPr>
        <w:numPr>
          <w:ilvl w:val="1"/>
          <w:numId w:val="3"/>
        </w:numPr>
        <w:pBdr>
          <w:top w:val="nil"/>
          <w:left w:val="nil"/>
          <w:bottom w:val="nil"/>
          <w:right w:val="nil"/>
          <w:between w:val="nil"/>
        </w:pBdr>
        <w:spacing w:after="0"/>
      </w:pPr>
      <w:r>
        <w:rPr>
          <w:rFonts w:eastAsia="Calibri"/>
          <w:color w:val="000000"/>
        </w:rPr>
        <w:t>Clearly label with your group/class/date</w:t>
      </w:r>
    </w:p>
    <w:p w:rsidR="00BC1888" w:rsidP="6ADB9034" w:rsidRDefault="6ADB9034" w14:paraId="1FE66C2D" w14:textId="0ECD045C">
      <w:pPr>
        <w:numPr>
          <w:ilvl w:val="0"/>
          <w:numId w:val="3"/>
        </w:numPr>
        <w:pBdr>
          <w:top w:val="nil"/>
          <w:left w:val="nil"/>
          <w:bottom w:val="nil"/>
          <w:right w:val="nil"/>
          <w:between w:val="nil"/>
        </w:pBdr>
        <w:spacing w:after="0"/>
        <w:rPr>
          <w:rFonts w:eastAsia="Calibri"/>
          <w:color w:val="000000"/>
        </w:rPr>
      </w:pPr>
      <w:r w:rsidRPr="6ADB9034">
        <w:rPr>
          <w:rFonts w:eastAsia="Calibri"/>
          <w:color w:val="000000" w:themeColor="text1"/>
        </w:rPr>
        <w:t xml:space="preserve">Divide your </w:t>
      </w:r>
      <w:r w:rsidR="002F547E">
        <w:rPr>
          <w:rFonts w:eastAsia="Calibri"/>
          <w:color w:val="000000" w:themeColor="text1"/>
        </w:rPr>
        <w:t xml:space="preserve">6 </w:t>
      </w:r>
      <w:r w:rsidRPr="6ADB9034">
        <w:rPr>
          <w:rFonts w:eastAsia="Calibri"/>
          <w:color w:val="000000" w:themeColor="text1"/>
        </w:rPr>
        <w:t>adipose wells in the 12 well plate into 3 groups of two wells (Fig. 1). Clearly mark your plate with areas for GM Ctrl, DM1, and DM2.</w:t>
      </w:r>
    </w:p>
    <w:p w:rsidR="00BC1888" w:rsidP="570D90BD" w:rsidRDefault="570D90BD" w14:paraId="25B2D0A9" w14:textId="1F02E0F2">
      <w:pPr>
        <w:numPr>
          <w:ilvl w:val="0"/>
          <w:numId w:val="3"/>
        </w:numPr>
        <w:pBdr>
          <w:top w:val="nil"/>
          <w:left w:val="nil"/>
          <w:bottom w:val="nil"/>
          <w:right w:val="nil"/>
          <w:between w:val="nil"/>
        </w:pBdr>
        <w:spacing w:after="0"/>
        <w:rPr>
          <w:rFonts w:eastAsia="Calibri"/>
          <w:color w:val="000000" w:themeColor="text1"/>
        </w:rPr>
      </w:pPr>
      <w:r w:rsidRPr="570D90BD">
        <w:rPr>
          <w:rFonts w:eastAsia="Calibri"/>
          <w:color w:val="000000" w:themeColor="text1"/>
        </w:rPr>
        <w:t>Change the media of the 6 wells using BSC-GM, DM1-</w:t>
      </w:r>
      <w:r w:rsidRPr="570D90BD">
        <w:rPr>
          <w:b/>
          <w:bCs/>
          <w:color w:val="000000" w:themeColor="text1"/>
        </w:rPr>
        <w:t>ind</w:t>
      </w:r>
      <w:r w:rsidRPr="570D90BD">
        <w:rPr>
          <w:rFonts w:eastAsia="Calibri"/>
          <w:color w:val="000000" w:themeColor="text1"/>
        </w:rPr>
        <w:t>, and DM2-</w:t>
      </w:r>
      <w:r w:rsidRPr="570D90BD">
        <w:rPr>
          <w:b/>
          <w:bCs/>
          <w:color w:val="000000" w:themeColor="text1"/>
        </w:rPr>
        <w:t>ind.</w:t>
      </w:r>
    </w:p>
    <w:p w:rsidR="00BC1888" w:rsidRDefault="0041688B" w14:paraId="7DF060C2" w14:textId="77777777">
      <w:pPr>
        <w:numPr>
          <w:ilvl w:val="1"/>
          <w:numId w:val="3"/>
        </w:numPr>
        <w:pBdr>
          <w:top w:val="nil"/>
          <w:left w:val="nil"/>
          <w:bottom w:val="nil"/>
          <w:right w:val="nil"/>
          <w:between w:val="nil"/>
        </w:pBdr>
        <w:spacing w:after="0"/>
      </w:pPr>
      <w:r>
        <w:rPr>
          <w:rFonts w:eastAsia="Calibri"/>
          <w:color w:val="000000"/>
        </w:rPr>
        <w:t xml:space="preserve">Add 1 mL of the appropriate </w:t>
      </w:r>
      <w:proofErr w:type="gramStart"/>
      <w:r>
        <w:rPr>
          <w:rFonts w:eastAsia="Calibri"/>
          <w:color w:val="000000"/>
        </w:rPr>
        <w:t>medium</w:t>
      </w:r>
      <w:proofErr w:type="gramEnd"/>
    </w:p>
    <w:p w:rsidR="00BC1888" w:rsidP="7EE5CECB" w:rsidRDefault="7EE5CECB" w14:paraId="29B51B1A" w14:textId="7CFFBBB3">
      <w:pPr>
        <w:numPr>
          <w:ilvl w:val="2"/>
          <w:numId w:val="3"/>
        </w:numPr>
        <w:pBdr>
          <w:top w:val="nil"/>
          <w:left w:val="nil"/>
          <w:bottom w:val="nil"/>
          <w:right w:val="nil"/>
          <w:between w:val="nil"/>
        </w:pBdr>
        <w:spacing w:after="0"/>
      </w:pPr>
      <w:r w:rsidRPr="7EE5CECB">
        <w:rPr>
          <w:b/>
          <w:bCs/>
        </w:rPr>
        <w:t xml:space="preserve">Today </w:t>
      </w:r>
      <w:r w:rsidRPr="7EE5CECB">
        <w:rPr>
          <w:b/>
          <w:bCs/>
          <w:color w:val="000000" w:themeColor="text1"/>
        </w:rPr>
        <w:t xml:space="preserve">we will start with </w:t>
      </w:r>
      <w:r w:rsidRPr="7EE5CECB">
        <w:rPr>
          <w:b/>
          <w:bCs/>
          <w:color w:val="000000" w:themeColor="text1"/>
          <w:u w:val="single"/>
        </w:rPr>
        <w:t>induction</w:t>
      </w:r>
      <w:r w:rsidRPr="7EE5CECB">
        <w:rPr>
          <w:b/>
          <w:bCs/>
          <w:color w:val="000000" w:themeColor="text1"/>
        </w:rPr>
        <w:t xml:space="preserve"> media</w:t>
      </w:r>
      <w:r w:rsidRPr="7EE5CECB">
        <w:rPr>
          <w:rFonts w:eastAsia="Calibri"/>
          <w:color w:val="000000" w:themeColor="text1"/>
        </w:rPr>
        <w:t xml:space="preserve">. For Sunday feeding, you will use the </w:t>
      </w:r>
      <w:r w:rsidRPr="7EE5CECB">
        <w:rPr>
          <w:rFonts w:eastAsia="Calibri"/>
          <w:color w:val="000000" w:themeColor="text1"/>
          <w:u w:val="single"/>
        </w:rPr>
        <w:t>accumulation</w:t>
      </w:r>
      <w:r w:rsidRPr="7EE5CECB">
        <w:rPr>
          <w:rFonts w:eastAsia="Calibri"/>
          <w:color w:val="000000" w:themeColor="text1"/>
        </w:rPr>
        <w:t xml:space="preserve"> media.</w:t>
      </w:r>
    </w:p>
    <w:p w:rsidR="00BC1888" w:rsidRDefault="0041688B" w14:paraId="0594A62F" w14:textId="77777777">
      <w:pPr>
        <w:numPr>
          <w:ilvl w:val="1"/>
          <w:numId w:val="3"/>
        </w:numPr>
        <w:pBdr>
          <w:top w:val="nil"/>
          <w:left w:val="nil"/>
          <w:bottom w:val="nil"/>
          <w:right w:val="nil"/>
          <w:between w:val="nil"/>
        </w:pBdr>
        <w:spacing w:after="0"/>
      </w:pPr>
      <w:r>
        <w:rPr>
          <w:rFonts w:eastAsia="Calibri"/>
          <w:color w:val="000000"/>
        </w:rPr>
        <w:t>Carefully replace the media using the same techniques as done during the muscle cell media change.</w:t>
      </w:r>
    </w:p>
    <w:p w:rsidR="00BC1888" w:rsidRDefault="0041688B" w14:paraId="0E9CF35D" w14:textId="77777777">
      <w:pPr>
        <w:numPr>
          <w:ilvl w:val="0"/>
          <w:numId w:val="3"/>
        </w:numPr>
        <w:pBdr>
          <w:top w:val="nil"/>
          <w:left w:val="nil"/>
          <w:bottom w:val="nil"/>
          <w:right w:val="nil"/>
          <w:between w:val="nil"/>
        </w:pBdr>
        <w:spacing w:after="0"/>
      </w:pPr>
      <w:r>
        <w:rPr>
          <w:rFonts w:eastAsia="Calibri"/>
          <w:color w:val="000000"/>
        </w:rPr>
        <w:t xml:space="preserve">Store 12 well </w:t>
      </w:r>
      <w:proofErr w:type="gramStart"/>
      <w:r>
        <w:rPr>
          <w:rFonts w:eastAsia="Calibri"/>
          <w:color w:val="000000"/>
        </w:rPr>
        <w:t>plate</w:t>
      </w:r>
      <w:proofErr w:type="gramEnd"/>
      <w:r>
        <w:rPr>
          <w:rFonts w:eastAsia="Calibri"/>
          <w:color w:val="000000"/>
        </w:rPr>
        <w:t xml:space="preserve"> in the 37</w:t>
      </w:r>
      <w:r>
        <w:t>°</w:t>
      </w:r>
      <w:r>
        <w:rPr>
          <w:rFonts w:eastAsia="Calibri"/>
          <w:color w:val="000000"/>
        </w:rPr>
        <w:t>C 5% CO2 incubator.</w:t>
      </w:r>
    </w:p>
    <w:p w:rsidR="00BC1888" w:rsidP="7EE5CECB" w:rsidRDefault="7EE5CECB" w14:paraId="1FC53EB3" w14:textId="37B79D16">
      <w:pPr>
        <w:numPr>
          <w:ilvl w:val="0"/>
          <w:numId w:val="3"/>
        </w:numPr>
        <w:pBdr>
          <w:top w:val="nil"/>
          <w:left w:val="nil"/>
          <w:bottom w:val="nil"/>
          <w:right w:val="nil"/>
          <w:between w:val="nil"/>
        </w:pBdr>
        <w:spacing w:after="0"/>
      </w:pPr>
      <w:r w:rsidRPr="7EE5CECB">
        <w:rPr>
          <w:rFonts w:eastAsia="Calibri"/>
          <w:color w:val="000000" w:themeColor="text1"/>
        </w:rPr>
        <w:t>Change the media on Sunday. Be gentle.</w:t>
      </w:r>
    </w:p>
    <w:p w:rsidR="00BC1888" w:rsidRDefault="0041688B" w14:paraId="12D033CF" w14:textId="77777777">
      <w:pPr>
        <w:numPr>
          <w:ilvl w:val="1"/>
          <w:numId w:val="3"/>
        </w:numPr>
        <w:pBdr>
          <w:top w:val="nil"/>
          <w:left w:val="nil"/>
          <w:bottom w:val="nil"/>
          <w:right w:val="nil"/>
          <w:between w:val="nil"/>
        </w:pBdr>
        <w:spacing w:after="0"/>
      </w:pPr>
      <w:r>
        <w:rPr>
          <w:rFonts w:eastAsia="Calibri"/>
          <w:color w:val="000000"/>
        </w:rPr>
        <w:t>GM Ctrl = Change with same BSC-GM</w:t>
      </w:r>
    </w:p>
    <w:p w:rsidR="00BC1888" w:rsidRDefault="0041688B" w14:paraId="38CB3F99" w14:textId="77777777">
      <w:pPr>
        <w:numPr>
          <w:ilvl w:val="1"/>
          <w:numId w:val="3"/>
        </w:numPr>
        <w:pBdr>
          <w:top w:val="nil"/>
          <w:left w:val="nil"/>
          <w:bottom w:val="nil"/>
          <w:right w:val="nil"/>
          <w:between w:val="nil"/>
        </w:pBdr>
        <w:spacing w:after="0"/>
      </w:pPr>
      <w:r>
        <w:rPr>
          <w:rFonts w:eastAsia="Calibri"/>
          <w:color w:val="000000"/>
        </w:rPr>
        <w:t>DM1 = Change to DM1-acc</w:t>
      </w:r>
    </w:p>
    <w:p w:rsidR="00BC1888" w:rsidP="7C840342" w:rsidRDefault="7C840342" w14:paraId="02928060" w14:textId="610C945C">
      <w:pPr>
        <w:numPr>
          <w:ilvl w:val="1"/>
          <w:numId w:val="3"/>
        </w:numPr>
        <w:pBdr>
          <w:top w:val="nil"/>
          <w:left w:val="nil"/>
          <w:bottom w:val="nil"/>
          <w:right w:val="nil"/>
          <w:between w:val="nil"/>
        </w:pBdr>
        <w:spacing w:after="0"/>
        <w:rPr>
          <w:rFonts w:eastAsia="Calibri"/>
          <w:color w:val="000000"/>
        </w:rPr>
      </w:pPr>
      <w:r w:rsidRPr="7C840342">
        <w:rPr>
          <w:rFonts w:eastAsia="Calibri"/>
          <w:color w:val="000000" w:themeColor="text1"/>
        </w:rPr>
        <w:t>DM2 = Change to DM2-acc</w:t>
      </w:r>
    </w:p>
    <w:p w:rsidR="00BC1888" w:rsidRDefault="0041688B" w14:paraId="269B9E0F" w14:textId="77777777">
      <w:pPr>
        <w:rPr>
          <w:rFonts w:eastAsia="Calibri"/>
        </w:rPr>
      </w:pPr>
      <w:r>
        <w:rPr>
          <w:rFonts w:eastAsia="Calibri"/>
        </w:rPr>
        <w:t>An example plate layout is shown below.</w:t>
      </w:r>
    </w:p>
    <w:p w:rsidR="00BC1888" w:rsidRDefault="002F547E" w14:paraId="5DAB6C7B" w14:textId="4C4668A1">
      <w:pPr>
        <w:spacing w:after="0"/>
      </w:pPr>
      <w:r>
        <w:rPr>
          <w:noProof/>
        </w:rPr>
        <mc:AlternateContent>
          <mc:Choice Requires="wps">
            <w:drawing>
              <wp:anchor distT="0" distB="0" distL="114300" distR="114300" simplePos="0" relativeHeight="251659264" behindDoc="0" locked="0" layoutInCell="1" allowOverlap="1" wp14:anchorId="1722337A" wp14:editId="21037C31">
                <wp:simplePos x="0" y="0"/>
                <wp:positionH relativeFrom="column">
                  <wp:posOffset>2290445</wp:posOffset>
                </wp:positionH>
                <wp:positionV relativeFrom="paragraph">
                  <wp:posOffset>1962785</wp:posOffset>
                </wp:positionV>
                <wp:extent cx="1172845" cy="1274445"/>
                <wp:effectExtent l="0" t="0" r="0" b="0"/>
                <wp:wrapNone/>
                <wp:docPr id="454794143" name="Multiplication Sign 1"/>
                <wp:cNvGraphicFramePr/>
                <a:graphic xmlns:a="http://schemas.openxmlformats.org/drawingml/2006/main">
                  <a:graphicData uri="http://schemas.microsoft.com/office/word/2010/wordprocessingShape">
                    <wps:wsp>
                      <wps:cNvSpPr/>
                      <wps:spPr>
                        <a:xfrm>
                          <a:off x="0" y="0"/>
                          <a:ext cx="1172845" cy="1274445"/>
                        </a:xfrm>
                        <a:prstGeom prst="mathMultiply">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6C67E6">
              <v:shape id="Multiplication Sign 1" style="position:absolute;margin-left:180.35pt;margin-top:154.55pt;width:92.35pt;height:1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2845,1274445" o:spid="_x0000_s1026" fillcolor="black [3200]" strokecolor="black [480]" strokeweight="1pt" path="m180198,399489l383178,212690,586423,433541,789667,212690,992647,399489,773866,637223,992647,874956,789667,1061755,586423,840904,383178,1061755,180198,874956,398979,637223,180198,3994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tOYwIAABAFAAAOAAAAZHJzL2Uyb0RvYy54bWysVMFu2zAMvQ/YPwi6r7aDdO2COkXQosOA&#10;rivWDj2rslQLk0WNUuJkXz9Kdpyu6y7DLjIpkk/U86POzredZRuFwYCreXVUcqachMa4p5p/u796&#10;d8pZiMI1woJTNd+pwM+Xb9+c9X6hZtCCbRQyAnFh0fuatzH6RVEE2apOhCPwylFQA3YikotPRYOi&#10;J/TOFrOyfF/0gI1HkCoE2r0cgnyZ8bVWMn7ROqjIbM2pt5hXzOtjWovlmVg8ofCtkWMb4h+66IRx&#10;dOgEdSmiYGs0f0B1RiIE0PFIQleA1kaqfAe6TVW+uM1dK7zKdyFygp9oCv8PVt5s7vwtEg29D4tA&#10;ZrrFVmOXvtQf22aydhNZahuZpM2qOpmdzo85kxSrZifzOTmEUxzKPYb4UUHHklFz+oXt57WNxttd&#10;JktsrkMcSvapVH9oJFtxZ1XqxbqvSjPT0NGzXJ01oi4sso2gv9t8r4btVjRq2KqOyzL/Yuppys4d&#10;ZrCEqo21E+4IkLT3O+7Q45ibylSW1lRY/q2hoXDKzieCi1NhZxzga8U2ViOZesjfEzPQkZh5hGZ3&#10;iwxhEHXw8soQz9cixFuBpGLSO01m/EKLttDXHEaLsxbw52v7KZ/ERVHOepqKmocfa4GKM/vJkew+&#10;VPN5GqPszI9PZuTg88jj84hbdxdAv6aiN8DLbKb8aPemRugeaIBX6VQKCSfp7JrLiHvnIg7TSk+A&#10;VKtVTqPR8SJeuzsvE3hiNennfvsg0I9ii6TTG9hPkFi80NqQmyodrNYRtMlCPPA68k1jlwUzPhFp&#10;rp/7OevwkC1/AQAA//8DAFBLAwQUAAYACAAAACEAWlbRPOAAAAALAQAADwAAAGRycy9kb3ducmV2&#10;LnhtbEyPwU7DMAyG70i8Q2QkLoglG9voStMJIfUAO7HBgVvamrYicaoma8vbY05w+y1/+v0528/O&#10;ihGH0HnSsFwoEEiVrztqNLyditsERIiGamM9oYZvDLDPLy8yk9Z+olccj7ERXEIhNRraGPtUylC1&#10;6ExY+B6Jd59+cCbyODSyHszE5c7KlVJb6UxHfKE1PT61WH0dz07DzfhcJNS9x4OfXuxHOBVuVVqt&#10;r6/mxwcQEef4B8OvPqtDzk6lP1MdhNVwt1X3jHJQuyUIJjbrzRpEyUHtEpB5Jv//kP8AAAD//wMA&#10;UEsBAi0AFAAGAAgAAAAhALaDOJL+AAAA4QEAABMAAAAAAAAAAAAAAAAAAAAAAFtDb250ZW50X1R5&#10;cGVzXS54bWxQSwECLQAUAAYACAAAACEAOP0h/9YAAACUAQAACwAAAAAAAAAAAAAAAAAvAQAAX3Jl&#10;bHMvLnJlbHNQSwECLQAUAAYACAAAACEAoO7rTmMCAAAQBQAADgAAAAAAAAAAAAAAAAAuAgAAZHJz&#10;L2Uyb0RvYy54bWxQSwECLQAUAAYACAAAACEAWlbRPOAAAAALAQAADwAAAAAAAAAAAAAAAAC9BAAA&#10;ZHJzL2Rvd25yZXYueG1sUEsFBgAAAAAEAAQA8wAAAMoFAAAAAA==&#10;" w14:anchorId="1EBDE362">
                <v:stroke joinstyle="miter"/>
                <v:path arrowok="t" o:connecttype="custom" o:connectlocs="180198,399489;383178,212690;586423,433541;789667,212690;992647,399489;773866,637223;992647,874956;789667,1061755;586423,840904;383178,1061755;180198,874956;398979,637223;180198,399489" o:connectangles="0,0,0,0,0,0,0,0,0,0,0,0,0"/>
              </v:shape>
            </w:pict>
          </mc:Fallback>
        </mc:AlternateContent>
      </w:r>
      <w:r>
        <w:rPr>
          <w:noProof/>
        </w:rPr>
        <mc:AlternateContent>
          <mc:Choice Requires="wps">
            <w:drawing>
              <wp:anchor distT="0" distB="0" distL="114300" distR="114300" simplePos="0" relativeHeight="251660288" behindDoc="0" locked="0" layoutInCell="1" allowOverlap="1" wp14:anchorId="07A24198" wp14:editId="3684D59B">
                <wp:simplePos x="0" y="0"/>
                <wp:positionH relativeFrom="column">
                  <wp:posOffset>3272963</wp:posOffset>
                </wp:positionH>
                <wp:positionV relativeFrom="paragraph">
                  <wp:posOffset>1965614</wp:posOffset>
                </wp:positionV>
                <wp:extent cx="1173018" cy="1274618"/>
                <wp:effectExtent l="0" t="0" r="0" b="0"/>
                <wp:wrapNone/>
                <wp:docPr id="1144869604" name="Multiplication Sign 1"/>
                <wp:cNvGraphicFramePr/>
                <a:graphic xmlns:a="http://schemas.openxmlformats.org/drawingml/2006/main">
                  <a:graphicData uri="http://schemas.microsoft.com/office/word/2010/wordprocessingShape">
                    <wps:wsp>
                      <wps:cNvSpPr/>
                      <wps:spPr>
                        <a:xfrm>
                          <a:off x="0" y="0"/>
                          <a:ext cx="1173018" cy="1274618"/>
                        </a:xfrm>
                        <a:prstGeom prst="mathMultiply">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4878BB">
              <v:shape id="Multiplication Sign 1" style="position:absolute;margin-left:257.7pt;margin-top:154.75pt;width:92.35pt;height:10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3018,1274618" o:spid="_x0000_s1026" fillcolor="black [3200]" strokecolor="black [480]" strokeweight="1pt" path="m180225,399545l383234,212718,586509,433599,789784,212718,992793,399545,773982,637309,992793,875073,789784,1061900,586509,841019,383234,1061900,180225,875073,399036,637309,180225,3995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HQYwIAABAFAAAOAAAAZHJzL2Uyb0RvYy54bWysVFFv2yAQfp+0/4B4X2xnabtZdaooVadJ&#10;WVutnfpMMcRomGNA4mS/fgd2nKzrXqa92Hfc3cfx8R2XV7tWk61wXoGpaDHJKRGGQ63MuqLfHm/e&#10;faDEB2ZqpsGIiu6Fp1fzt28uO1uKKTSga+EIghhfdraiTQi2zDLPG9EyPwErDAYluJYFdN06qx3r&#10;EL3V2TTPz7MOXG0dcOE9rl73QTpP+FIKHu6k9CIQXVHsLaSvS9/n+M3ml6xcO2YbxYc22D900TJl&#10;cNMR6poFRjZO/QHVKu7AgwwTDm0GUiou0hnwNEX+4jQPDbMinQXJ8Xakyf8/WH67fbD3DmnorC89&#10;mvEUO+na+Mf+yC6RtR/JErtAOC4WxcX7vMDr5Rgrphezc3QQJzuWW+fDJwEtiUZF8QqbLxsdlNX7&#10;RBbbrnzoSw6pWH9sJFlhr0XsRZuvQhJV49bTVJ00IpbakS3D262/F/1yw2rRLxVneZ6uGHsas1OH&#10;CSyiSqX1iDsARO39jtv3OOTGMpGkNRbmf2uoLxyz045gwljYKgPutWIdioFM2ecfiOnpiMw8Q72/&#10;d8RBL2pv+Y1CnlfMh3vmUMWod5zMcIcfqaGrKAwWJQ24n6+tx3wUF0Yp6XAqKup/bJgTlOjPBmX3&#10;sZjN4hglZ3Z2MUXHnUaeTyNm0y4Br6bAN8DyZMb8oA+mdNA+4QAv4q4YYobj3hXlwR2cZeinFZ8A&#10;LhaLlIajY1lYmQfLI3hkNerncffEnB3EFlCnt3CYIFa+0FqfGysNLDYBpEpCPPI68I1jlwQzPBFx&#10;rk/9lHV8yOa/AAAA//8DAFBLAwQUAAYACAAAACEAt9+BVeAAAAALAQAADwAAAGRycy9kb3ducmV2&#10;LnhtbEyPy07DMBBF90j8gzVIbCJqJ20KhDgV4rHsggbB1o2HOBCPo9htAl+Pu4Ll6B7de6bczLZn&#10;Rxx950hCuhDAkBqnO2olvNbPVzfAfFCkVe8IJXyjh011flaqQruJXvC4Cy2LJeQLJcGEMBSc+8ag&#10;VX7hBqSYfbjRqhDPseV6VFMstz3PhFhzqzqKC0YN+GCw+dodrITMbqelqd+Sx3r1+TMmyfu6eSIp&#10;Ly/m+ztgAefwB8NJP6pDFZ327kDas15CnuariEpYitscWCSuhUiB7U+RyIBXJf//Q/ULAAD//wMA&#10;UEsBAi0AFAAGAAgAAAAhALaDOJL+AAAA4QEAABMAAAAAAAAAAAAAAAAAAAAAAFtDb250ZW50X1R5&#10;cGVzXS54bWxQSwECLQAUAAYACAAAACEAOP0h/9YAAACUAQAACwAAAAAAAAAAAAAAAAAvAQAAX3Jl&#10;bHMvLnJlbHNQSwECLQAUAAYACAAAACEAjxwx0GMCAAAQBQAADgAAAAAAAAAAAAAAAAAuAgAAZHJz&#10;L2Uyb0RvYy54bWxQSwECLQAUAAYACAAAACEAt9+BVeAAAAALAQAADwAAAAAAAAAAAAAAAAC9BAAA&#10;ZHJzL2Rvd25yZXYueG1sUEsFBgAAAAAEAAQA8wAAAMoFAAAAAA==&#10;" w14:anchorId="4CA4F76F">
                <v:stroke joinstyle="miter"/>
                <v:path arrowok="t" o:connecttype="custom" o:connectlocs="180225,399545;383234,212718;586509,433599;789784,212718;992793,399545;773982,637309;992793,875073;789784,1061900;586509,841019;383234,1061900;180225,875073;399036,637309;180225,399545" o:connectangles="0,0,0,0,0,0,0,0,0,0,0,0,0"/>
              </v:shape>
            </w:pict>
          </mc:Fallback>
        </mc:AlternateContent>
      </w:r>
      <w:r w:rsidR="0041688B">
        <w:rPr>
          <w:noProof/>
        </w:rPr>
        <w:drawing>
          <wp:inline distT="0" distB="0" distL="0" distR="0" wp14:anchorId="0125B647" wp14:editId="5A1FDAA8">
            <wp:extent cx="4595495" cy="3173095"/>
            <wp:effectExtent l="0" t="0" r="0" b="8255"/>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595495" cy="3173095"/>
                    </a:xfrm>
                    <a:prstGeom prst="rect">
                      <a:avLst/>
                    </a:prstGeom>
                    <a:ln/>
                  </pic:spPr>
                </pic:pic>
              </a:graphicData>
            </a:graphic>
          </wp:inline>
        </w:drawing>
      </w:r>
    </w:p>
    <w:p w:rsidR="00BC1888" w:rsidRDefault="0041688B" w14:paraId="7E10946F" w14:textId="03F6BB27">
      <w:pPr>
        <w:spacing w:after="0"/>
        <w:rPr>
          <w:rFonts w:eastAsia="Calibri"/>
        </w:rPr>
      </w:pPr>
      <w:r>
        <w:rPr>
          <w:rFonts w:eastAsia="Calibri"/>
        </w:rPr>
        <w:t xml:space="preserve">Figure 1: Proposed 12-well plate design for differentiation </w:t>
      </w:r>
      <w:proofErr w:type="gramStart"/>
      <w:r>
        <w:rPr>
          <w:rFonts w:eastAsia="Calibri"/>
        </w:rPr>
        <w:t>experiment</w:t>
      </w:r>
      <w:proofErr w:type="gramEnd"/>
    </w:p>
    <w:p w:rsidR="00BC1888" w:rsidRDefault="0041688B" w14:paraId="14F1CA8C" w14:textId="2570387C">
      <w:pPr>
        <w:pStyle w:val="Heading2"/>
      </w:pPr>
      <w:r>
        <w:t>Data/Observations/Conclusions</w:t>
      </w:r>
    </w:p>
    <w:p w:rsidR="00BC1888" w:rsidRDefault="00BC1888" w14:paraId="02EB378F" w14:textId="77777777"/>
    <w:p w:rsidR="00BC1888" w:rsidRDefault="00BC1888" w14:paraId="6A05A809" w14:textId="77777777"/>
    <w:p w:rsidR="00BC1888" w:rsidRDefault="00BC1888" w14:paraId="5A39BBE3" w14:textId="77777777"/>
    <w:p w:rsidR="00BC1888" w:rsidRDefault="00BC1888" w14:paraId="41C8F396" w14:textId="77777777"/>
    <w:p w:rsidR="00BC1888" w:rsidRDefault="00BC1888" w14:paraId="72A3D3EC" w14:textId="77777777"/>
    <w:p w:rsidR="00BC1888" w:rsidRDefault="00BC1888" w14:paraId="0D0B940D" w14:textId="77777777"/>
    <w:p w:rsidR="00BC1888" w:rsidP="673F9120" w:rsidRDefault="00BC1888" w14:paraId="665D11CC" w14:textId="0A6CAC90">
      <w:pPr>
        <w:spacing w:line="257" w:lineRule="auto"/>
      </w:pPr>
      <w:r w:rsidRPr="673F9120" w:rsidR="673F9120">
        <w:rPr>
          <w:rFonts w:ascii="Times New Roman" w:hAnsi="Times New Roman" w:eastAsia="Times New Roman" w:cs="Times New Roman"/>
          <w:noProof w:val="0"/>
          <w:sz w:val="22"/>
          <w:szCs w:val="22"/>
          <w:lang w:val="en-US"/>
        </w:rPr>
        <w:t>Reference volumes:</w:t>
      </w:r>
    </w:p>
    <w:p w:rsidR="00BC1888" w:rsidP="673F9120" w:rsidRDefault="00BC1888" w14:paraId="669DF46C" w14:textId="56F09A13">
      <w:pPr>
        <w:spacing w:line="257" w:lineRule="auto"/>
      </w:pPr>
      <w:r w:rsidRPr="673F9120" w:rsidR="673F9120">
        <w:rPr>
          <w:rFonts w:ascii="Times New Roman" w:hAnsi="Times New Roman" w:eastAsia="Times New Roman" w:cs="Times New Roman"/>
          <w:noProof w:val="0"/>
          <w:sz w:val="22"/>
          <w:szCs w:val="22"/>
          <w:lang w:val="en-US"/>
        </w:rPr>
        <w:t xml:space="preserve"> </w:t>
      </w: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673F9120" w:rsidTr="673F9120" w14:paraId="59B02A69">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398F4FE8" w14:textId="4DBFC65E">
            <w:pPr>
              <w:spacing w:before="0" w:beforeAutospacing="off" w:after="0" w:afterAutospacing="off"/>
            </w:pPr>
            <w:r w:rsidRPr="673F9120" w:rsidR="673F9120">
              <w:rPr>
                <w:rFonts w:ascii="Times New Roman" w:hAnsi="Times New Roman" w:eastAsia="Times New Roman" w:cs="Times New Roman"/>
                <w:b w:val="1"/>
                <w:bCs w:val="1"/>
                <w:sz w:val="22"/>
                <w:szCs w:val="22"/>
              </w:rPr>
              <w:t>Vessel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5EA2B303" w14:textId="0AAB6927">
            <w:pPr>
              <w:spacing w:before="0" w:beforeAutospacing="off" w:after="0" w:afterAutospacing="off"/>
            </w:pPr>
            <w:r w:rsidRPr="673F9120" w:rsidR="673F9120">
              <w:rPr>
                <w:rFonts w:ascii="Times New Roman" w:hAnsi="Times New Roman" w:eastAsia="Times New Roman" w:cs="Times New Roman"/>
                <w:b w:val="1"/>
                <w:bCs w:val="1"/>
                <w:sz w:val="22"/>
                <w:szCs w:val="22"/>
              </w:rPr>
              <w:t>Surface (cm2)</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6F019940" w14:textId="68B05333">
            <w:pPr>
              <w:spacing w:before="0" w:beforeAutospacing="off" w:after="0" w:afterAutospacing="off"/>
            </w:pPr>
            <w:r w:rsidRPr="673F9120" w:rsidR="673F9120">
              <w:rPr>
                <w:rFonts w:ascii="Times New Roman" w:hAnsi="Times New Roman" w:eastAsia="Times New Roman" w:cs="Times New Roman"/>
                <w:b w:val="1"/>
                <w:bCs w:val="1"/>
                <w:sz w:val="22"/>
                <w:szCs w:val="22"/>
              </w:rPr>
              <w:t>~PBS volume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61FCB8F3" w14:textId="54EBD611">
            <w:pPr>
              <w:spacing w:before="0" w:beforeAutospacing="off" w:after="0" w:afterAutospacing="off"/>
            </w:pPr>
            <w:r w:rsidRPr="673F9120" w:rsidR="673F9120">
              <w:rPr>
                <w:rFonts w:ascii="Times New Roman" w:hAnsi="Times New Roman" w:eastAsia="Times New Roman" w:cs="Times New Roman"/>
                <w:b w:val="1"/>
                <w:bCs w:val="1"/>
                <w:sz w:val="22"/>
                <w:szCs w:val="22"/>
              </w:rPr>
              <w:t>~Trypsin volume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9C07F15" w14:textId="484D1A75">
            <w:pPr>
              <w:spacing w:before="0" w:beforeAutospacing="off" w:after="0" w:afterAutospacing="off"/>
            </w:pPr>
            <w:r w:rsidRPr="673F9120" w:rsidR="673F9120">
              <w:rPr>
                <w:rFonts w:ascii="Times New Roman" w:hAnsi="Times New Roman" w:eastAsia="Times New Roman" w:cs="Times New Roman"/>
                <w:b w:val="1"/>
                <w:bCs w:val="1"/>
                <w:sz w:val="22"/>
                <w:szCs w:val="22"/>
              </w:rPr>
              <w:t>~Media volume</w:t>
            </w:r>
          </w:p>
        </w:tc>
      </w:tr>
      <w:tr w:rsidR="673F9120" w:rsidTr="673F9120" w14:paraId="199DC291">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BFE3CB5" w14:textId="2E3229F9">
            <w:pPr>
              <w:spacing w:before="0" w:beforeAutospacing="off" w:after="0" w:afterAutospacing="off"/>
            </w:pPr>
            <w:r w:rsidRPr="673F9120" w:rsidR="673F9120">
              <w:rPr>
                <w:rFonts w:ascii="Times New Roman" w:hAnsi="Times New Roman" w:eastAsia="Times New Roman" w:cs="Times New Roman"/>
                <w:sz w:val="22"/>
                <w:szCs w:val="22"/>
              </w:rPr>
              <w:t>6-well plate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E5705CE" w14:textId="778F1020">
            <w:pPr>
              <w:spacing w:before="0" w:beforeAutospacing="off" w:after="0" w:afterAutospacing="off"/>
            </w:pPr>
            <w:r w:rsidRPr="673F9120" w:rsidR="673F9120">
              <w:rPr>
                <w:rFonts w:ascii="Times New Roman" w:hAnsi="Times New Roman" w:eastAsia="Times New Roman" w:cs="Times New Roman"/>
                <w:sz w:val="22"/>
                <w:szCs w:val="22"/>
              </w:rPr>
              <w:t>9.6</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ED40ACE" w14:textId="1FF5C6AB">
            <w:pPr>
              <w:spacing w:before="0" w:beforeAutospacing="off" w:after="0" w:afterAutospacing="off"/>
            </w:pPr>
            <w:r w:rsidRPr="673F9120" w:rsidR="673F9120">
              <w:rPr>
                <w:rFonts w:ascii="Times New Roman" w:hAnsi="Times New Roman" w:eastAsia="Times New Roman" w:cs="Times New Roman"/>
                <w:sz w:val="22"/>
                <w:szCs w:val="22"/>
              </w:rPr>
              <w:t>1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493354B" w14:textId="20EB1ECC">
            <w:pPr>
              <w:spacing w:before="0" w:beforeAutospacing="off" w:after="0" w:afterAutospacing="off"/>
            </w:pPr>
            <w:r w:rsidRPr="673F9120" w:rsidR="673F9120">
              <w:rPr>
                <w:rFonts w:ascii="Times New Roman" w:hAnsi="Times New Roman" w:eastAsia="Times New Roman" w:cs="Times New Roman"/>
                <w:sz w:val="22"/>
                <w:szCs w:val="22"/>
              </w:rPr>
              <w:t>500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4755B61" w14:textId="41188AE2">
            <w:pPr>
              <w:spacing w:before="0" w:beforeAutospacing="off" w:after="0" w:afterAutospacing="off"/>
            </w:pPr>
            <w:r w:rsidRPr="673F9120" w:rsidR="673F9120">
              <w:rPr>
                <w:rFonts w:ascii="Times New Roman" w:hAnsi="Times New Roman" w:eastAsia="Times New Roman" w:cs="Times New Roman"/>
                <w:sz w:val="22"/>
                <w:szCs w:val="22"/>
              </w:rPr>
              <w:t>2 mL</w:t>
            </w:r>
          </w:p>
        </w:tc>
      </w:tr>
      <w:tr w:rsidR="673F9120" w:rsidTr="673F9120" w14:paraId="3A070DD1">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FA5B56E" w14:textId="6E1494AA">
            <w:pPr>
              <w:spacing w:before="0" w:beforeAutospacing="off" w:after="0" w:afterAutospacing="off"/>
            </w:pPr>
            <w:r w:rsidRPr="673F9120" w:rsidR="673F9120">
              <w:rPr>
                <w:rFonts w:ascii="Times New Roman" w:hAnsi="Times New Roman" w:eastAsia="Times New Roman" w:cs="Times New Roman"/>
                <w:sz w:val="22"/>
                <w:szCs w:val="22"/>
              </w:rPr>
              <w:t>12-well plate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270C9353" w14:textId="6519AFD5">
            <w:pPr>
              <w:spacing w:before="0" w:beforeAutospacing="off" w:after="0" w:afterAutospacing="off"/>
            </w:pPr>
            <w:r w:rsidRPr="673F9120" w:rsidR="673F9120">
              <w:rPr>
                <w:rFonts w:ascii="Times New Roman" w:hAnsi="Times New Roman" w:eastAsia="Times New Roman" w:cs="Times New Roman"/>
                <w:sz w:val="22"/>
                <w:szCs w:val="22"/>
              </w:rPr>
              <w:t>3.5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78F89F45" w14:textId="7790110C">
            <w:pPr>
              <w:spacing w:before="0" w:beforeAutospacing="off" w:after="0" w:afterAutospacing="off"/>
            </w:pPr>
            <w:r w:rsidRPr="673F9120" w:rsidR="673F9120">
              <w:rPr>
                <w:rFonts w:ascii="Times New Roman" w:hAnsi="Times New Roman" w:eastAsia="Times New Roman" w:cs="Times New Roman"/>
                <w:sz w:val="22"/>
                <w:szCs w:val="22"/>
              </w:rPr>
              <w:t>500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22BECD6B" w14:textId="6AB29308">
            <w:pPr>
              <w:spacing w:before="0" w:beforeAutospacing="off" w:after="0" w:afterAutospacing="off"/>
            </w:pPr>
            <w:r w:rsidRPr="673F9120" w:rsidR="673F9120">
              <w:rPr>
                <w:rFonts w:ascii="Times New Roman" w:hAnsi="Times New Roman" w:eastAsia="Times New Roman" w:cs="Times New Roman"/>
                <w:sz w:val="22"/>
                <w:szCs w:val="22"/>
              </w:rPr>
              <w:t>250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33EC3870" w14:textId="444E66F2">
            <w:pPr>
              <w:spacing w:before="0" w:beforeAutospacing="off" w:after="0" w:afterAutospacing="off"/>
            </w:pPr>
            <w:r w:rsidRPr="673F9120" w:rsidR="673F9120">
              <w:rPr>
                <w:rFonts w:ascii="Times New Roman" w:hAnsi="Times New Roman" w:eastAsia="Times New Roman" w:cs="Times New Roman"/>
                <w:sz w:val="22"/>
                <w:szCs w:val="22"/>
              </w:rPr>
              <w:t>1 mL</w:t>
            </w:r>
          </w:p>
        </w:tc>
      </w:tr>
      <w:tr w:rsidR="673F9120" w:rsidTr="673F9120" w14:paraId="624A352D">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65083E4D" w14:textId="48607200">
            <w:pPr>
              <w:spacing w:before="0" w:beforeAutospacing="off" w:after="0" w:afterAutospacing="off"/>
            </w:pPr>
            <w:r w:rsidRPr="673F9120" w:rsidR="673F9120">
              <w:rPr>
                <w:rFonts w:ascii="Times New Roman" w:hAnsi="Times New Roman" w:eastAsia="Times New Roman" w:cs="Times New Roman"/>
                <w:sz w:val="22"/>
                <w:szCs w:val="22"/>
              </w:rPr>
              <w:t>24-well plate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6C411B55" w14:textId="64FC919E">
            <w:pPr>
              <w:spacing w:before="0" w:beforeAutospacing="off" w:after="0" w:afterAutospacing="off"/>
            </w:pPr>
            <w:r w:rsidRPr="673F9120" w:rsidR="673F9120">
              <w:rPr>
                <w:rFonts w:ascii="Times New Roman" w:hAnsi="Times New Roman" w:eastAsia="Times New Roman" w:cs="Times New Roman"/>
                <w:sz w:val="22"/>
                <w:szCs w:val="22"/>
              </w:rPr>
              <w:t>1.9</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7AB5F34B" w14:textId="6E9ED8CD">
            <w:pPr>
              <w:spacing w:before="0" w:beforeAutospacing="off" w:after="0" w:afterAutospacing="off"/>
            </w:pPr>
            <w:r w:rsidRPr="673F9120" w:rsidR="673F9120">
              <w:rPr>
                <w:rFonts w:ascii="Times New Roman" w:hAnsi="Times New Roman" w:eastAsia="Times New Roman" w:cs="Times New Roman"/>
                <w:sz w:val="22"/>
                <w:szCs w:val="22"/>
              </w:rPr>
              <w:t>500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ACE382C" w14:textId="0730C0E5">
            <w:pPr>
              <w:spacing w:before="0" w:beforeAutospacing="off" w:after="0" w:afterAutospacing="off"/>
            </w:pPr>
            <w:r w:rsidRPr="673F9120" w:rsidR="673F9120">
              <w:rPr>
                <w:rFonts w:ascii="Times New Roman" w:hAnsi="Times New Roman" w:eastAsia="Times New Roman" w:cs="Times New Roman"/>
                <w:sz w:val="22"/>
                <w:szCs w:val="22"/>
              </w:rPr>
              <w:t>250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4D0E73D0" w14:textId="39B0D34C">
            <w:pPr>
              <w:spacing w:before="0" w:beforeAutospacing="off" w:after="0" w:afterAutospacing="off"/>
            </w:pPr>
            <w:r w:rsidRPr="673F9120" w:rsidR="673F9120">
              <w:rPr>
                <w:rFonts w:ascii="Times New Roman" w:hAnsi="Times New Roman" w:eastAsia="Times New Roman" w:cs="Times New Roman"/>
                <w:sz w:val="22"/>
                <w:szCs w:val="22"/>
              </w:rPr>
              <w:t>1 mL</w:t>
            </w:r>
          </w:p>
        </w:tc>
      </w:tr>
      <w:tr w:rsidR="673F9120" w:rsidTr="673F9120" w14:paraId="16B74A37">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695D20EA" w14:textId="39E40B8F">
            <w:pPr>
              <w:spacing w:before="0" w:beforeAutospacing="off" w:after="0" w:afterAutospacing="off"/>
            </w:pPr>
            <w:r w:rsidRPr="673F9120" w:rsidR="673F9120">
              <w:rPr>
                <w:rFonts w:ascii="Times New Roman" w:hAnsi="Times New Roman" w:eastAsia="Times New Roman" w:cs="Times New Roman"/>
                <w:sz w:val="22"/>
                <w:szCs w:val="22"/>
              </w:rPr>
              <w:t>48-well plate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4AAA6FDA" w14:textId="08882F6E">
            <w:pPr>
              <w:spacing w:before="0" w:beforeAutospacing="off" w:after="0" w:afterAutospacing="off"/>
            </w:pPr>
            <w:r w:rsidRPr="673F9120" w:rsidR="673F9120">
              <w:rPr>
                <w:rFonts w:ascii="Times New Roman" w:hAnsi="Times New Roman" w:eastAsia="Times New Roman" w:cs="Times New Roman"/>
                <w:sz w:val="22"/>
                <w:szCs w:val="22"/>
              </w:rPr>
              <w:t>1.1</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7EAAFC93" w14:textId="5109B170">
            <w:pPr>
              <w:spacing w:before="0" w:beforeAutospacing="off" w:after="0" w:afterAutospacing="off"/>
            </w:pPr>
            <w:r w:rsidRPr="673F9120" w:rsidR="673F9120">
              <w:rPr>
                <w:rFonts w:ascii="Times New Roman" w:hAnsi="Times New Roman" w:eastAsia="Times New Roman" w:cs="Times New Roman"/>
                <w:sz w:val="22"/>
                <w:szCs w:val="22"/>
              </w:rPr>
              <w:t>200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57EEC26C" w14:textId="7F98E296">
            <w:pPr>
              <w:spacing w:before="0" w:beforeAutospacing="off" w:after="0" w:afterAutospacing="off"/>
            </w:pPr>
            <w:r w:rsidRPr="673F9120" w:rsidR="673F9120">
              <w:rPr>
                <w:rFonts w:ascii="Times New Roman" w:hAnsi="Times New Roman" w:eastAsia="Times New Roman" w:cs="Times New Roman"/>
                <w:sz w:val="22"/>
                <w:szCs w:val="22"/>
              </w:rPr>
              <w:t>100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4A39E085" w14:textId="4DAB1EE6">
            <w:pPr>
              <w:spacing w:before="0" w:beforeAutospacing="off" w:after="0" w:afterAutospacing="off"/>
            </w:pPr>
            <w:r w:rsidRPr="673F9120" w:rsidR="673F9120">
              <w:rPr>
                <w:rFonts w:ascii="Times New Roman" w:hAnsi="Times New Roman" w:eastAsia="Times New Roman" w:cs="Times New Roman"/>
                <w:sz w:val="22"/>
                <w:szCs w:val="22"/>
              </w:rPr>
              <w:t>500 uL</w:t>
            </w:r>
          </w:p>
        </w:tc>
      </w:tr>
      <w:tr w:rsidR="673F9120" w:rsidTr="673F9120" w14:paraId="4BD4CACD">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47692070" w14:textId="144D74D7">
            <w:pPr>
              <w:spacing w:before="0" w:beforeAutospacing="off" w:after="0" w:afterAutospacing="off"/>
            </w:pPr>
            <w:r w:rsidRPr="673F9120" w:rsidR="673F9120">
              <w:rPr>
                <w:rFonts w:ascii="Times New Roman" w:hAnsi="Times New Roman" w:eastAsia="Times New Roman" w:cs="Times New Roman"/>
                <w:sz w:val="22"/>
                <w:szCs w:val="22"/>
              </w:rPr>
              <w:t>96-well plate</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2DF2C729" w14:textId="0F9BA17C">
            <w:pPr>
              <w:spacing w:before="0" w:beforeAutospacing="off" w:after="0" w:afterAutospacing="off"/>
            </w:pPr>
            <w:r w:rsidRPr="673F9120" w:rsidR="673F9120">
              <w:rPr>
                <w:rFonts w:ascii="Times New Roman" w:hAnsi="Times New Roman" w:eastAsia="Times New Roman" w:cs="Times New Roman"/>
                <w:sz w:val="22"/>
                <w:szCs w:val="22"/>
              </w:rPr>
              <w:t>0.32</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7896279F" w14:textId="16173F19">
            <w:pPr>
              <w:spacing w:before="0" w:beforeAutospacing="off" w:after="0" w:afterAutospacing="off"/>
            </w:pPr>
            <w:r w:rsidRPr="673F9120" w:rsidR="673F9120">
              <w:rPr>
                <w:rFonts w:ascii="Times New Roman" w:hAnsi="Times New Roman" w:eastAsia="Times New Roman" w:cs="Times New Roman"/>
                <w:sz w:val="22"/>
                <w:szCs w:val="22"/>
              </w:rPr>
              <w:t>100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231340D5" w14:textId="59FF0BE3">
            <w:pPr>
              <w:spacing w:before="0" w:beforeAutospacing="off" w:after="0" w:afterAutospacing="off"/>
            </w:pPr>
            <w:r w:rsidRPr="673F9120" w:rsidR="673F9120">
              <w:rPr>
                <w:rFonts w:ascii="Times New Roman" w:hAnsi="Times New Roman" w:eastAsia="Times New Roman" w:cs="Times New Roman"/>
                <w:sz w:val="22"/>
                <w:szCs w:val="22"/>
              </w:rPr>
              <w:t>50 uL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F4CB800" w14:textId="5FED06F9">
            <w:pPr>
              <w:spacing w:before="0" w:beforeAutospacing="off" w:after="0" w:afterAutospacing="off"/>
            </w:pPr>
            <w:r w:rsidRPr="673F9120" w:rsidR="673F9120">
              <w:rPr>
                <w:rFonts w:ascii="Times New Roman" w:hAnsi="Times New Roman" w:eastAsia="Times New Roman" w:cs="Times New Roman"/>
                <w:sz w:val="22"/>
                <w:szCs w:val="22"/>
              </w:rPr>
              <w:t>200 uL</w:t>
            </w:r>
          </w:p>
        </w:tc>
      </w:tr>
      <w:tr w:rsidR="673F9120" w:rsidTr="673F9120" w14:paraId="0F835757">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3E890BFE" w14:textId="5576DAB1">
            <w:pPr>
              <w:spacing w:before="0" w:beforeAutospacing="off" w:after="0" w:afterAutospacing="off"/>
            </w:pPr>
            <w:r w:rsidRPr="673F9120" w:rsidR="673F9120">
              <w:rPr>
                <w:rFonts w:ascii="Times New Roman" w:hAnsi="Times New Roman" w:eastAsia="Times New Roman" w:cs="Times New Roman"/>
                <w:sz w:val="22"/>
                <w:szCs w:val="22"/>
              </w:rPr>
              <w:t>T-25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4CA02DAF" w14:textId="56169EFC">
            <w:pPr>
              <w:spacing w:before="0" w:beforeAutospacing="off" w:after="0" w:afterAutospacing="off"/>
            </w:pPr>
            <w:r w:rsidRPr="673F9120" w:rsidR="673F9120">
              <w:rPr>
                <w:rFonts w:ascii="Times New Roman" w:hAnsi="Times New Roman" w:eastAsia="Times New Roman" w:cs="Times New Roman"/>
                <w:sz w:val="22"/>
                <w:szCs w:val="22"/>
              </w:rPr>
              <w:t>25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54E98742" w14:textId="51788D90">
            <w:pPr>
              <w:spacing w:before="0" w:beforeAutospacing="off" w:after="0" w:afterAutospacing="off"/>
            </w:pPr>
            <w:r w:rsidRPr="673F9120" w:rsidR="673F9120">
              <w:rPr>
                <w:rFonts w:ascii="Times New Roman" w:hAnsi="Times New Roman" w:eastAsia="Times New Roman" w:cs="Times New Roman"/>
                <w:sz w:val="22"/>
                <w:szCs w:val="22"/>
              </w:rPr>
              <w:t>3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34AC810" w14:textId="20E5634E">
            <w:pPr>
              <w:spacing w:before="0" w:beforeAutospacing="off" w:after="0" w:afterAutospacing="off"/>
            </w:pPr>
            <w:r w:rsidRPr="673F9120" w:rsidR="673F9120">
              <w:rPr>
                <w:rFonts w:ascii="Times New Roman" w:hAnsi="Times New Roman" w:eastAsia="Times New Roman" w:cs="Times New Roman"/>
                <w:sz w:val="22"/>
                <w:szCs w:val="22"/>
              </w:rPr>
              <w:t>1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358795F2" w14:textId="00C8C6AA">
            <w:pPr>
              <w:spacing w:before="0" w:beforeAutospacing="off" w:after="0" w:afterAutospacing="off"/>
            </w:pPr>
            <w:r w:rsidRPr="673F9120" w:rsidR="673F9120">
              <w:rPr>
                <w:rFonts w:ascii="Times New Roman" w:hAnsi="Times New Roman" w:eastAsia="Times New Roman" w:cs="Times New Roman"/>
                <w:sz w:val="22"/>
                <w:szCs w:val="22"/>
              </w:rPr>
              <w:t>5 mL</w:t>
            </w:r>
          </w:p>
        </w:tc>
      </w:tr>
      <w:tr w:rsidR="673F9120" w:rsidTr="673F9120" w14:paraId="3E3FAE0F">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3EBDA658" w14:textId="40ED10CB">
            <w:pPr>
              <w:spacing w:before="0" w:beforeAutospacing="off" w:after="0" w:afterAutospacing="off"/>
            </w:pPr>
            <w:r w:rsidRPr="673F9120" w:rsidR="673F9120">
              <w:rPr>
                <w:rFonts w:ascii="Times New Roman" w:hAnsi="Times New Roman" w:eastAsia="Times New Roman" w:cs="Times New Roman"/>
                <w:sz w:val="22"/>
                <w:szCs w:val="22"/>
              </w:rPr>
              <w:t>T-75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6B4A5E6" w14:textId="6A906854">
            <w:pPr>
              <w:spacing w:before="0" w:beforeAutospacing="off" w:after="0" w:afterAutospacing="off"/>
            </w:pPr>
            <w:r w:rsidRPr="673F9120" w:rsidR="673F9120">
              <w:rPr>
                <w:rFonts w:ascii="Times New Roman" w:hAnsi="Times New Roman" w:eastAsia="Times New Roman" w:cs="Times New Roman"/>
                <w:sz w:val="22"/>
                <w:szCs w:val="22"/>
              </w:rPr>
              <w:t>75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7732197C" w14:textId="6E96F318">
            <w:pPr>
              <w:spacing w:before="0" w:beforeAutospacing="off" w:after="0" w:afterAutospacing="off"/>
            </w:pPr>
            <w:r w:rsidRPr="673F9120" w:rsidR="673F9120">
              <w:rPr>
                <w:rFonts w:ascii="Times New Roman" w:hAnsi="Times New Roman" w:eastAsia="Times New Roman" w:cs="Times New Roman"/>
                <w:sz w:val="22"/>
                <w:szCs w:val="22"/>
              </w:rPr>
              <w:t>5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C48B0CE" w14:textId="3F0F6CCB">
            <w:pPr>
              <w:spacing w:before="0" w:beforeAutospacing="off" w:after="0" w:afterAutospacing="off"/>
            </w:pPr>
            <w:r w:rsidRPr="673F9120" w:rsidR="673F9120">
              <w:rPr>
                <w:rFonts w:ascii="Times New Roman" w:hAnsi="Times New Roman" w:eastAsia="Times New Roman" w:cs="Times New Roman"/>
                <w:sz w:val="22"/>
                <w:szCs w:val="22"/>
              </w:rPr>
              <w:t>2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17A94AE1" w14:textId="241CEB08">
            <w:pPr>
              <w:spacing w:before="0" w:beforeAutospacing="off" w:after="0" w:afterAutospacing="off"/>
            </w:pPr>
            <w:r w:rsidRPr="673F9120" w:rsidR="673F9120">
              <w:rPr>
                <w:rFonts w:ascii="Times New Roman" w:hAnsi="Times New Roman" w:eastAsia="Times New Roman" w:cs="Times New Roman"/>
                <w:sz w:val="22"/>
                <w:szCs w:val="22"/>
              </w:rPr>
              <w:t>12 mL</w:t>
            </w:r>
          </w:p>
        </w:tc>
      </w:tr>
      <w:tr w:rsidR="673F9120" w:rsidTr="673F9120" w14:paraId="09F24ACE">
        <w:trPr>
          <w:trHeight w:val="300"/>
        </w:trPr>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A4676C0" w14:textId="655F87ED">
            <w:pPr>
              <w:spacing w:before="0" w:beforeAutospacing="off" w:after="0" w:afterAutospacing="off"/>
            </w:pPr>
            <w:r w:rsidRPr="673F9120" w:rsidR="673F9120">
              <w:rPr>
                <w:rFonts w:ascii="Times New Roman" w:hAnsi="Times New Roman" w:eastAsia="Times New Roman" w:cs="Times New Roman"/>
                <w:sz w:val="22"/>
                <w:szCs w:val="22"/>
              </w:rPr>
              <w:t>T-175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036AA9AF" w14:textId="0F567C4F">
            <w:pPr>
              <w:spacing w:before="0" w:beforeAutospacing="off" w:after="0" w:afterAutospacing="off"/>
            </w:pPr>
            <w:r w:rsidRPr="673F9120" w:rsidR="673F9120">
              <w:rPr>
                <w:rFonts w:ascii="Times New Roman" w:hAnsi="Times New Roman" w:eastAsia="Times New Roman" w:cs="Times New Roman"/>
                <w:sz w:val="22"/>
                <w:szCs w:val="22"/>
              </w:rPr>
              <w:t>175</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2BCBFEF1" w14:textId="0A4686EE">
            <w:pPr>
              <w:spacing w:before="0" w:beforeAutospacing="off" w:after="0" w:afterAutospacing="off"/>
            </w:pPr>
            <w:r w:rsidRPr="673F9120" w:rsidR="673F9120">
              <w:rPr>
                <w:rFonts w:ascii="Times New Roman" w:hAnsi="Times New Roman" w:eastAsia="Times New Roman" w:cs="Times New Roman"/>
                <w:sz w:val="22"/>
                <w:szCs w:val="22"/>
              </w:rPr>
              <w:t>10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69B67CDB" w14:textId="728097E2">
            <w:pPr>
              <w:spacing w:before="0" w:beforeAutospacing="off" w:after="0" w:afterAutospacing="off"/>
            </w:pPr>
            <w:r w:rsidRPr="673F9120" w:rsidR="673F9120">
              <w:rPr>
                <w:rFonts w:ascii="Times New Roman" w:hAnsi="Times New Roman" w:eastAsia="Times New Roman" w:cs="Times New Roman"/>
                <w:sz w:val="22"/>
                <w:szCs w:val="22"/>
              </w:rPr>
              <w:t>3 mL</w:t>
            </w:r>
          </w:p>
        </w:tc>
        <w:tc>
          <w:tcPr>
            <w:tcW w:w="1872" w:type="dxa"/>
            <w:tcBorders>
              <w:top w:val="single" w:sz="8"/>
              <w:left w:val="single" w:sz="8"/>
              <w:bottom w:val="single" w:sz="8"/>
              <w:right w:val="single" w:sz="8"/>
            </w:tcBorders>
            <w:tcMar>
              <w:left w:w="108" w:type="dxa"/>
              <w:right w:w="108" w:type="dxa"/>
            </w:tcMar>
            <w:vAlign w:val="top"/>
          </w:tcPr>
          <w:p w:rsidR="673F9120" w:rsidP="673F9120" w:rsidRDefault="673F9120" w14:paraId="58D749D1" w14:textId="6EEC2F6A">
            <w:pPr>
              <w:spacing w:before="0" w:beforeAutospacing="off" w:after="0" w:afterAutospacing="off"/>
            </w:pPr>
            <w:r w:rsidRPr="673F9120" w:rsidR="673F9120">
              <w:rPr>
                <w:rFonts w:ascii="Times New Roman" w:hAnsi="Times New Roman" w:eastAsia="Times New Roman" w:cs="Times New Roman"/>
                <w:sz w:val="22"/>
                <w:szCs w:val="22"/>
              </w:rPr>
              <w:t>30 mL</w:t>
            </w:r>
          </w:p>
        </w:tc>
      </w:tr>
    </w:tbl>
    <w:p w:rsidR="00BC1888" w:rsidP="673F9120" w:rsidRDefault="00BC1888" w14:paraId="0E27B00A" w14:textId="473D2CDF">
      <w:pPr>
        <w:pStyle w:val="Normal"/>
      </w:pPr>
    </w:p>
    <w:p w:rsidR="00BC1888" w:rsidRDefault="00BC1888" w14:paraId="60061E4C" w14:textId="77777777"/>
    <w:p w:rsidR="00BC1888" w:rsidRDefault="00BC1888" w14:paraId="44EAFD9C" w14:textId="77777777"/>
    <w:p w:rsidR="00BC1888" w:rsidRDefault="00BC1888" w14:paraId="4B94D5A5" w14:textId="77777777"/>
    <w:p w:rsidR="00BC1888" w:rsidRDefault="00BC1888" w14:paraId="3DEEC669" w14:textId="77777777"/>
    <w:p w:rsidR="00BC1888" w:rsidRDefault="00BC1888" w14:paraId="3656B9AB" w14:textId="77777777"/>
    <w:p w:rsidR="00BC1888" w:rsidRDefault="00BC1888" w14:paraId="45FB0818" w14:textId="77777777"/>
    <w:p w:rsidR="00BC1888" w:rsidRDefault="00BC1888" w14:paraId="049F31CB" w14:textId="77777777"/>
    <w:p w:rsidR="00BC1888" w:rsidRDefault="00000000" w14:paraId="53128261" w14:textId="77777777">
      <w:r>
        <w:pict w14:anchorId="28F35412">
          <v:rect id="_x0000_i1026" style="width:0;height:1.5pt" o:hr="t" o:hrstd="t" o:hralign="center" fillcolor="#a0a0a0" stroked="f"/>
        </w:pict>
      </w:r>
    </w:p>
    <w:p w:rsidR="00BC1888" w:rsidRDefault="0041688B" w14:paraId="071E4E01" w14:textId="77777777">
      <w:pPr>
        <w:pStyle w:val="Heading2"/>
      </w:pPr>
      <w:r>
        <w:t>References</w:t>
      </w:r>
    </w:p>
    <w:p w:rsidR="00BC1888" w:rsidRDefault="0041688B" w14:paraId="0CDF176E" w14:textId="77777777">
      <w:r>
        <w:t xml:space="preserve">Dohmen RGJ, </w:t>
      </w:r>
      <w:proofErr w:type="spellStart"/>
      <w:r>
        <w:t>Hubalek</w:t>
      </w:r>
      <w:proofErr w:type="spellEnd"/>
      <w:r>
        <w:t xml:space="preserve"> S, Melke J, Messmer T, Cantoni F, Mei A, et al. Muscle-derived fibro-</w:t>
      </w:r>
      <w:proofErr w:type="spellStart"/>
      <w:r>
        <w:t>adipogenic</w:t>
      </w:r>
      <w:proofErr w:type="spellEnd"/>
      <w:r>
        <w:t xml:space="preserve"> progenitor cells for production of cultured bovine adipose tissue. </w:t>
      </w:r>
      <w:proofErr w:type="spellStart"/>
      <w:r>
        <w:t>Npj</w:t>
      </w:r>
      <w:proofErr w:type="spellEnd"/>
      <w:r>
        <w:t xml:space="preserve"> Sci Food </w:t>
      </w:r>
      <w:proofErr w:type="gramStart"/>
      <w:r>
        <w:t>2022;6:6</w:t>
      </w:r>
      <w:proofErr w:type="gramEnd"/>
      <w:r>
        <w:t>. https://doi.org/10.1038/s41538-021-00122-2</w:t>
      </w:r>
    </w:p>
    <w:p w:rsidR="00BC1888" w:rsidRDefault="0041688B" w14:paraId="41527B06" w14:textId="77777777">
      <w:r>
        <w:t xml:space="preserve">Jurek S, Sandhu MA, Trappe S, Bermúdez-Peña MC, </w:t>
      </w:r>
      <w:proofErr w:type="spellStart"/>
      <w:r>
        <w:t>Kolisek</w:t>
      </w:r>
      <w:proofErr w:type="spellEnd"/>
      <w:r>
        <w:t xml:space="preserve"> M, Sponder G, et al. Optimizing </w:t>
      </w:r>
      <w:proofErr w:type="spellStart"/>
      <w:r>
        <w:t>adipogenic</w:t>
      </w:r>
      <w:proofErr w:type="spellEnd"/>
      <w:r>
        <w:t xml:space="preserve"> </w:t>
      </w:r>
      <w:proofErr w:type="spellStart"/>
      <w:r>
        <w:t>transdifferentiation</w:t>
      </w:r>
      <w:proofErr w:type="spellEnd"/>
      <w:r>
        <w:t xml:space="preserve"> of bovine mesenchymal stem cells: a prominent role of ascorbic acid in FABP4 induction. Adipocyte </w:t>
      </w:r>
      <w:proofErr w:type="gramStart"/>
      <w:r>
        <w:t>2020;9:35</w:t>
      </w:r>
      <w:proofErr w:type="gramEnd"/>
      <w:r>
        <w:t xml:space="preserve">–50. </w:t>
      </w:r>
      <w:hyperlink r:id="rId10">
        <w:r>
          <w:rPr>
            <w:color w:val="0563C1"/>
            <w:u w:val="single"/>
          </w:rPr>
          <w:t>https://doi.org/10.1080/21623945.2020.1720480</w:t>
        </w:r>
      </w:hyperlink>
    </w:p>
    <w:p w:rsidR="00BC1888" w:rsidRDefault="0041688B" w14:paraId="28796A67" w14:textId="77777777">
      <w:pPr>
        <w:rPr>
          <w:rFonts w:eastAsia="Calibri"/>
        </w:rPr>
      </w:pPr>
      <w:r>
        <w:rPr>
          <w:rFonts w:eastAsia="Calibri"/>
          <w:color w:val="000000"/>
        </w:rPr>
        <w:t xml:space="preserve">Mitic, R., Cantoni, F., Borlin, C. S., Post, M. J., &amp; </w:t>
      </w:r>
      <w:proofErr w:type="spellStart"/>
      <w:r>
        <w:rPr>
          <w:rFonts w:eastAsia="Calibri"/>
          <w:color w:val="000000"/>
        </w:rPr>
        <w:t>Jackisch</w:t>
      </w:r>
      <w:proofErr w:type="spellEnd"/>
      <w:r>
        <w:rPr>
          <w:rFonts w:eastAsia="Calibri"/>
          <w:color w:val="000000"/>
        </w:rPr>
        <w:t xml:space="preserve">, L. (2023). A simplified and defined serum-free medium for cultivating fat across species. </w:t>
      </w:r>
      <w:proofErr w:type="spellStart"/>
      <w:r>
        <w:rPr>
          <w:rFonts w:eastAsia="Calibri"/>
          <w:color w:val="000000"/>
        </w:rPr>
        <w:t>iScience</w:t>
      </w:r>
      <w:proofErr w:type="spellEnd"/>
      <w:r>
        <w:rPr>
          <w:rFonts w:eastAsia="Calibri"/>
          <w:color w:val="000000"/>
        </w:rPr>
        <w:t xml:space="preserve">. </w:t>
      </w:r>
      <w:hyperlink r:id="rId11">
        <w:r>
          <w:rPr>
            <w:rFonts w:eastAsia="Calibri"/>
            <w:color w:val="0563C1"/>
            <w:u w:val="single"/>
          </w:rPr>
          <w:t>https://doi.org/10.1016/j.isci.2022.105822</w:t>
        </w:r>
      </w:hyperlink>
    </w:p>
    <w:p w:rsidR="00BC1888" w:rsidRDefault="0041688B" w14:paraId="11A3D0C2" w14:textId="77777777">
      <w:r>
        <w:t xml:space="preserve">Pu Y, Veiga-Lopez A. </w:t>
      </w:r>
      <w:proofErr w:type="spellStart"/>
      <w:r>
        <w:t>PPARγ</w:t>
      </w:r>
      <w:proofErr w:type="spellEnd"/>
      <w:r>
        <w:t xml:space="preserve"> agonist through the terminal differentiation phase is essential for </w:t>
      </w:r>
      <w:proofErr w:type="spellStart"/>
      <w:r>
        <w:t>adipogenic</w:t>
      </w:r>
      <w:proofErr w:type="spellEnd"/>
      <w:r>
        <w:t xml:space="preserve"> differentiation of fetal ovine preadipocytes. Cellular &amp; Molecular Biology Letters </w:t>
      </w:r>
      <w:proofErr w:type="gramStart"/>
      <w:r>
        <w:t>2017;22:6</w:t>
      </w:r>
      <w:proofErr w:type="gramEnd"/>
      <w:r>
        <w:t xml:space="preserve">. </w:t>
      </w:r>
      <w:hyperlink r:id="rId12">
        <w:r>
          <w:rPr>
            <w:color w:val="0563C1"/>
            <w:u w:val="single"/>
          </w:rPr>
          <w:t>https://doi.org/10.1186/s11658-017-0037-1</w:t>
        </w:r>
      </w:hyperlink>
    </w:p>
    <w:sectPr w:rsidR="00BC1888">
      <w:headerReference w:type="default" r:id="rId13"/>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209" w:rsidRDefault="00527209" w14:paraId="108D30AB" w14:textId="77777777">
      <w:pPr>
        <w:spacing w:after="0" w:line="240" w:lineRule="auto"/>
      </w:pPr>
      <w:r>
        <w:separator/>
      </w:r>
    </w:p>
  </w:endnote>
  <w:endnote w:type="continuationSeparator" w:id="0">
    <w:p w:rsidR="00527209" w:rsidRDefault="00527209" w14:paraId="35DFFC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209" w:rsidRDefault="00527209" w14:paraId="12885F33" w14:textId="77777777">
      <w:pPr>
        <w:spacing w:after="0" w:line="240" w:lineRule="auto"/>
      </w:pPr>
      <w:r>
        <w:separator/>
      </w:r>
    </w:p>
  </w:footnote>
  <w:footnote w:type="continuationSeparator" w:id="0">
    <w:p w:rsidR="00527209" w:rsidRDefault="00527209" w14:paraId="1146979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888" w:rsidRDefault="0041688B" w14:paraId="67A4331F" w14:textId="77777777">
    <w:pPr>
      <w:pStyle w:val="Heading2"/>
      <w:tabs>
        <w:tab w:val="right" w:pos="9360"/>
      </w:tabs>
    </w:pPr>
    <w:r>
      <w:tab/>
    </w:r>
    <w:r>
      <w:t xml:space="preserve">Exp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53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B9150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9672E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FD073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5098550">
    <w:abstractNumId w:val="0"/>
  </w:num>
  <w:num w:numId="2" w16cid:durableId="1800411310">
    <w:abstractNumId w:val="3"/>
  </w:num>
  <w:num w:numId="3" w16cid:durableId="270550333">
    <w:abstractNumId w:val="1"/>
  </w:num>
  <w:num w:numId="4" w16cid:durableId="172131857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O3tDQ0M7IwNTUwNzdU0lEKTi0uzszPAykwrAUAsntuZSwAAAA="/>
  </w:docVars>
  <w:rsids>
    <w:rsidRoot w:val="00BC1888"/>
    <w:rsid w:val="002F547E"/>
    <w:rsid w:val="0041688B"/>
    <w:rsid w:val="00527209"/>
    <w:rsid w:val="00BC1888"/>
    <w:rsid w:val="032700DF"/>
    <w:rsid w:val="1D012A60"/>
    <w:rsid w:val="4B7E25C7"/>
    <w:rsid w:val="50F2BA97"/>
    <w:rsid w:val="570D90BD"/>
    <w:rsid w:val="673F9120"/>
    <w:rsid w:val="6ADB9034"/>
    <w:rsid w:val="7C7D8085"/>
    <w:rsid w:val="7C840342"/>
    <w:rsid w:val="7EE5CE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7330"/>
  <w15:docId w15:val="{25243D85-609A-4530-B317-2E5CE0585F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6226"/>
    <w:rPr>
      <w:rFonts w:eastAsiaTheme="minorHAnsi"/>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C76226"/>
    <w:pPr>
      <w:outlineLvl w:val="1"/>
    </w:pPr>
    <w:rPr>
      <w:b/>
      <w:bCs/>
      <w:sz w:val="28"/>
      <w:szCs w:val="28"/>
    </w:rPr>
  </w:style>
  <w:style w:type="paragraph" w:styleId="Heading3">
    <w:name w:val="heading 3"/>
    <w:basedOn w:val="Normal"/>
    <w:next w:val="Normal"/>
    <w:link w:val="Heading3Char"/>
    <w:uiPriority w:val="9"/>
    <w:semiHidden/>
    <w:unhideWhenUsed/>
    <w:qFormat/>
    <w:rsid w:val="00E42E1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2Char" w:customStyle="1">
    <w:name w:val="Heading 2 Char"/>
    <w:basedOn w:val="DefaultParagraphFont"/>
    <w:link w:val="Heading2"/>
    <w:uiPriority w:val="9"/>
    <w:rsid w:val="00C76226"/>
    <w:rPr>
      <w:rFonts w:eastAsiaTheme="minorHAnsi"/>
      <w:b/>
      <w:bCs/>
      <w:sz w:val="28"/>
      <w:szCs w:val="28"/>
      <w:lang w:eastAsia="en-US"/>
    </w:rPr>
  </w:style>
  <w:style w:type="paragraph" w:styleId="Header">
    <w:name w:val="header"/>
    <w:basedOn w:val="Normal"/>
    <w:link w:val="HeaderChar"/>
    <w:uiPriority w:val="99"/>
    <w:unhideWhenUsed/>
    <w:rsid w:val="00C76226"/>
    <w:pPr>
      <w:tabs>
        <w:tab w:val="center" w:pos="4680"/>
        <w:tab w:val="right" w:pos="9360"/>
      </w:tabs>
      <w:spacing w:after="0" w:line="240" w:lineRule="auto"/>
    </w:pPr>
  </w:style>
  <w:style w:type="character" w:styleId="HeaderChar" w:customStyle="1">
    <w:name w:val="Header Char"/>
    <w:basedOn w:val="DefaultParagraphFont"/>
    <w:link w:val="Header"/>
    <w:uiPriority w:val="99"/>
    <w:rsid w:val="00C76226"/>
    <w:rPr>
      <w:rFonts w:eastAsiaTheme="minorHAnsi"/>
      <w:lang w:eastAsia="en-US"/>
    </w:rPr>
  </w:style>
  <w:style w:type="paragraph" w:styleId="Footer">
    <w:name w:val="footer"/>
    <w:basedOn w:val="Normal"/>
    <w:link w:val="FooterChar"/>
    <w:uiPriority w:val="99"/>
    <w:unhideWhenUsed/>
    <w:rsid w:val="00C76226"/>
    <w:pPr>
      <w:tabs>
        <w:tab w:val="center" w:pos="4680"/>
        <w:tab w:val="right" w:pos="9360"/>
      </w:tabs>
      <w:spacing w:after="0" w:line="240" w:lineRule="auto"/>
    </w:pPr>
  </w:style>
  <w:style w:type="character" w:styleId="FooterChar" w:customStyle="1">
    <w:name w:val="Footer Char"/>
    <w:basedOn w:val="DefaultParagraphFont"/>
    <w:link w:val="Footer"/>
    <w:uiPriority w:val="99"/>
    <w:rsid w:val="00C76226"/>
    <w:rPr>
      <w:rFonts w:eastAsiaTheme="minorHAnsi"/>
      <w:lang w:eastAsia="en-US"/>
    </w:rPr>
  </w:style>
  <w:style w:type="character" w:styleId="Heading3Char" w:customStyle="1">
    <w:name w:val="Heading 3 Char"/>
    <w:basedOn w:val="DefaultParagraphFont"/>
    <w:link w:val="Heading3"/>
    <w:uiPriority w:val="9"/>
    <w:semiHidden/>
    <w:rsid w:val="00E42E19"/>
    <w:rPr>
      <w:rFonts w:asciiTheme="majorHAnsi" w:hAnsiTheme="majorHAnsi" w:eastAsiaTheme="majorEastAsia" w:cstheme="majorBidi"/>
      <w:color w:val="1F3763" w:themeColor="accent1" w:themeShade="7F"/>
      <w:sz w:val="24"/>
      <w:szCs w:val="24"/>
      <w:lang w:eastAsia="en-US"/>
    </w:rPr>
  </w:style>
  <w:style w:type="character" w:styleId="Hyperlink">
    <w:name w:val="Hyperlink"/>
    <w:basedOn w:val="DefaultParagraphFont"/>
    <w:uiPriority w:val="99"/>
    <w:unhideWhenUsed/>
    <w:rsid w:val="000B35B1"/>
    <w:rPr>
      <w:color w:val="0563C1" w:themeColor="hyperlink"/>
      <w:u w:val="single"/>
    </w:rPr>
  </w:style>
  <w:style w:type="character" w:styleId="UnresolvedMention">
    <w:name w:val="Unresolved Mention"/>
    <w:basedOn w:val="DefaultParagraphFont"/>
    <w:uiPriority w:val="99"/>
    <w:semiHidden/>
    <w:unhideWhenUsed/>
    <w:rsid w:val="000B35B1"/>
    <w:rPr>
      <w:color w:val="605E5C"/>
      <w:shd w:val="clear" w:color="auto" w:fill="E1DFDD"/>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oi.org/10.1186/s11658-017-0037-1"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doi.org/10.1016/j.isci.2022.105822"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doi.org/10.1080/21623945.2020.1720480"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F50k3ppG5G7qrx+uM8ly2fxRA==">AMUW2mUnFFp6QVro05DNxfV9llmVoCKJVrYwxh215UfvNpXvph/fL8gESnox/yND7m+Cu4UBGodatI3dCsyo47mluP4ab/p8RQ==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John Yuen</dc:creator>
  <lastModifiedBy>Jake A. Marko</lastModifiedBy>
  <revision>12</revision>
  <dcterms:created xsi:type="dcterms:W3CDTF">2023-12-04T20:25:00.0000000Z</dcterms:created>
  <dcterms:modified xsi:type="dcterms:W3CDTF">2023-12-21T20:44:11.7464763Z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0x0101009AAF9E595A340D4D891E4481241EFB5F</vt:lpwstr>
  </property>
</Properties>
</file>