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DEF73" w14:textId="77777777" w:rsidR="005F577F" w:rsidRPr="005F577F" w:rsidRDefault="005F577F" w:rsidP="005F577F">
      <w:pPr>
        <w:spacing w:after="0" w:line="240" w:lineRule="auto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51"/>
          <w:szCs w:val="51"/>
        </w:rPr>
      </w:pPr>
      <w:r w:rsidRPr="005F577F">
        <w:rPr>
          <w:rFonts w:ascii="Open Sans" w:eastAsia="Times New Roman" w:hAnsi="Open Sans" w:cs="Open Sans"/>
          <w:color w:val="333333"/>
          <w:kern w:val="36"/>
          <w:sz w:val="51"/>
          <w:szCs w:val="51"/>
        </w:rPr>
        <w:t>Submitting Your Research Study to the Institutional Review Board</w:t>
      </w:r>
    </w:p>
    <w:p w14:paraId="1C78D0CC" w14:textId="77777777" w:rsidR="007468CD" w:rsidRDefault="007468CD" w:rsidP="007468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444444"/>
          <w:sz w:val="23"/>
          <w:szCs w:val="23"/>
          <w:bdr w:val="none" w:sz="0" w:space="0" w:color="auto" w:frame="1"/>
        </w:rPr>
      </w:pPr>
    </w:p>
    <w:p w14:paraId="26F70521" w14:textId="77777777" w:rsidR="0057787B" w:rsidRDefault="007468CD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5F577F">
        <w:rPr>
          <w:rFonts w:eastAsia="Times New Roman" w:cstheme="minorHAnsi"/>
          <w:color w:val="444444"/>
          <w:sz w:val="24"/>
          <w:szCs w:val="24"/>
        </w:rPr>
        <w:t>Research on human subjects is any research in which the investigator obtains information about a living individual through intervention or interaction with the individual (such as </w:t>
      </w:r>
      <w:r w:rsidRPr="005F577F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administering medication </w:t>
      </w:r>
      <w:r w:rsidRPr="005F577F">
        <w:rPr>
          <w:rFonts w:eastAsia="Times New Roman" w:cstheme="minorHAnsi"/>
          <w:color w:val="444444"/>
          <w:sz w:val="24"/>
          <w:szCs w:val="24"/>
        </w:rPr>
        <w:t>or having the person </w:t>
      </w:r>
      <w:r w:rsidRPr="005F577F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fill out a survey</w:t>
      </w:r>
      <w:r w:rsidRPr="005F577F">
        <w:rPr>
          <w:rFonts w:eastAsia="Times New Roman" w:cstheme="minorHAnsi"/>
          <w:color w:val="444444"/>
          <w:sz w:val="24"/>
          <w:szCs w:val="24"/>
        </w:rPr>
        <w:t>), or from identifiable private information that should be protected (including </w:t>
      </w:r>
      <w:r w:rsidRPr="005F577F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observation of behavior</w:t>
      </w:r>
      <w:r w:rsidRPr="005F577F">
        <w:rPr>
          <w:rFonts w:eastAsia="Times New Roman" w:cstheme="minorHAnsi"/>
          <w:color w:val="444444"/>
          <w:sz w:val="24"/>
          <w:szCs w:val="24"/>
        </w:rPr>
        <w:t> in a nonpublic setting).  It also includes any research that used personal information such as </w:t>
      </w:r>
      <w:r w:rsidRPr="005F577F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identified/identifiable secondary data</w:t>
      </w:r>
      <w:r w:rsidRPr="005F577F">
        <w:rPr>
          <w:rFonts w:eastAsia="Times New Roman" w:cstheme="minorHAnsi"/>
          <w:color w:val="444444"/>
          <w:sz w:val="24"/>
          <w:szCs w:val="24"/>
        </w:rPr>
        <w:t> or </w:t>
      </w:r>
      <w:r w:rsidRPr="005F577F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blood/tissue samples</w:t>
      </w:r>
      <w:r w:rsidRPr="005F577F">
        <w:rPr>
          <w:rFonts w:eastAsia="Times New Roman" w:cstheme="minorHAnsi"/>
          <w:color w:val="444444"/>
          <w:sz w:val="24"/>
          <w:szCs w:val="24"/>
        </w:rPr>
        <w:t xml:space="preserve">.  </w:t>
      </w:r>
    </w:p>
    <w:p w14:paraId="446999B5" w14:textId="77777777" w:rsidR="0057787B" w:rsidRDefault="0057787B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</w:p>
    <w:p w14:paraId="3C1E27A6" w14:textId="0234E15D" w:rsidR="0057787B" w:rsidRDefault="0057787B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57787B">
        <w:rPr>
          <w:rFonts w:eastAsia="Times New Roman" w:cstheme="minorHAnsi"/>
          <w:color w:val="444444"/>
          <w:sz w:val="24"/>
          <w:szCs w:val="24"/>
        </w:rPr>
        <w:t>An I</w:t>
      </w:r>
      <w:r>
        <w:rPr>
          <w:rFonts w:eastAsia="Times New Roman" w:cstheme="minorHAnsi"/>
          <w:color w:val="444444"/>
          <w:sz w:val="24"/>
          <w:szCs w:val="24"/>
        </w:rPr>
        <w:t>nstitutional Review Board (IR</w:t>
      </w:r>
      <w:r w:rsidRPr="0057787B">
        <w:rPr>
          <w:rFonts w:eastAsia="Times New Roman" w:cstheme="minorHAnsi"/>
          <w:color w:val="444444"/>
          <w:sz w:val="24"/>
          <w:szCs w:val="24"/>
        </w:rPr>
        <w:t>B</w:t>
      </w:r>
      <w:r>
        <w:rPr>
          <w:rFonts w:eastAsia="Times New Roman" w:cstheme="minorHAnsi"/>
          <w:color w:val="444444"/>
          <w:sz w:val="24"/>
          <w:szCs w:val="24"/>
        </w:rPr>
        <w:t>)</w:t>
      </w:r>
      <w:r w:rsidRPr="0057787B">
        <w:rPr>
          <w:rFonts w:eastAsia="Times New Roman" w:cstheme="minorHAnsi"/>
          <w:color w:val="444444"/>
          <w:sz w:val="24"/>
          <w:szCs w:val="24"/>
        </w:rPr>
        <w:t xml:space="preserve"> is a federally mandated organization of scientific and non-scientific persons, whose charge is to review research studies involving human subjects to ensure subject safety and welfare</w:t>
      </w:r>
      <w:r>
        <w:rPr>
          <w:rFonts w:eastAsia="Times New Roman" w:cstheme="minorHAnsi"/>
          <w:color w:val="444444"/>
          <w:sz w:val="24"/>
          <w:szCs w:val="24"/>
        </w:rPr>
        <w:t xml:space="preserve">. </w:t>
      </w:r>
      <w:r w:rsidRPr="0057787B">
        <w:rPr>
          <w:rFonts w:eastAsia="Times New Roman" w:cstheme="minorHAnsi"/>
          <w:color w:val="444444"/>
          <w:sz w:val="24"/>
          <w:szCs w:val="24"/>
        </w:rPr>
        <w:t xml:space="preserve">While responsibility for the conduct of a research study ultimately lies with the Principal Investigator, an IRB’s goal is to ensure that any research study under its jurisdiction is in compliance with federal, state, and institutional regulations. </w:t>
      </w:r>
    </w:p>
    <w:p w14:paraId="20B24FED" w14:textId="73B0FD74" w:rsidR="0057787B" w:rsidRDefault="0057787B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</w:p>
    <w:p w14:paraId="24F66E01" w14:textId="77777777" w:rsidR="0057787B" w:rsidRPr="0057787B" w:rsidRDefault="0057787B" w:rsidP="0057787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57787B">
        <w:rPr>
          <w:rFonts w:eastAsia="Times New Roman" w:cstheme="minorHAnsi"/>
          <w:color w:val="444444"/>
          <w:sz w:val="24"/>
          <w:szCs w:val="24"/>
        </w:rPr>
        <w:t xml:space="preserve">Here at Tufts, we have two IRB offices. </w:t>
      </w:r>
      <w:bookmarkStart w:id="0" w:name="_GoBack"/>
      <w:bookmarkEnd w:id="0"/>
    </w:p>
    <w:p w14:paraId="1CE6F06F" w14:textId="57218B3B" w:rsidR="0057787B" w:rsidRPr="0057787B" w:rsidRDefault="00EF3797" w:rsidP="0057787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hyperlink r:id="rId5" w:history="1">
        <w:r w:rsidR="0057787B" w:rsidRPr="0057787B">
          <w:rPr>
            <w:rStyle w:val="Hyperlink"/>
            <w:rFonts w:eastAsia="Times New Roman" w:cstheme="minorHAnsi"/>
            <w:b/>
            <w:bCs/>
            <w:sz w:val="24"/>
            <w:szCs w:val="24"/>
          </w:rPr>
          <w:t>Tufts Health Sciences IRB</w:t>
        </w:r>
      </w:hyperlink>
    </w:p>
    <w:p w14:paraId="62A2A485" w14:textId="77777777" w:rsidR="0057787B" w:rsidRPr="0057787B" w:rsidRDefault="0057787B" w:rsidP="005778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57787B">
        <w:rPr>
          <w:rFonts w:eastAsia="Times New Roman" w:cstheme="minorHAnsi"/>
          <w:color w:val="444444"/>
          <w:sz w:val="24"/>
          <w:szCs w:val="24"/>
        </w:rPr>
        <w:t>Reviews clinical studies and any research involving protected health information under HIPAA regulations</w:t>
      </w:r>
    </w:p>
    <w:p w14:paraId="148E6620" w14:textId="45E7B2B2" w:rsidR="0057787B" w:rsidRPr="0057787B" w:rsidRDefault="00EF3797" w:rsidP="0057787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hyperlink r:id="rId6" w:history="1">
        <w:r w:rsidR="0057787B" w:rsidRPr="0057787B">
          <w:rPr>
            <w:rStyle w:val="Hyperlink"/>
            <w:rFonts w:eastAsia="Times New Roman" w:cstheme="minorHAnsi"/>
            <w:b/>
            <w:bCs/>
            <w:sz w:val="24"/>
            <w:szCs w:val="24"/>
          </w:rPr>
          <w:t>Social, Behavioral and Educational Research IRB</w:t>
        </w:r>
      </w:hyperlink>
    </w:p>
    <w:p w14:paraId="35F08B01" w14:textId="2483AFFA" w:rsidR="0057787B" w:rsidRDefault="0057787B" w:rsidP="0057787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57787B">
        <w:rPr>
          <w:rFonts w:eastAsia="Times New Roman" w:cstheme="minorHAnsi"/>
          <w:color w:val="444444"/>
          <w:sz w:val="24"/>
          <w:szCs w:val="24"/>
        </w:rPr>
        <w:t>Reviews social, behavioral and educational research not involving HIPAA information (e.g., survey about student opinions)</w:t>
      </w:r>
    </w:p>
    <w:p w14:paraId="6B02DAA8" w14:textId="678B4F9C" w:rsidR="0057787B" w:rsidRDefault="0057787B" w:rsidP="008476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</w:p>
    <w:p w14:paraId="7100B095" w14:textId="77777777" w:rsidR="0084765B" w:rsidRPr="007468CD" w:rsidRDefault="0084765B" w:rsidP="008476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5F577F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Before submitting ANYTHING to the IRB, you must send it through Dental Research Administration (DRA) first.</w:t>
      </w:r>
      <w:r w:rsidRPr="005F577F">
        <w:rPr>
          <w:rFonts w:eastAsia="Times New Roman" w:cstheme="minorHAnsi"/>
          <w:color w:val="444444"/>
          <w:sz w:val="24"/>
          <w:szCs w:val="24"/>
        </w:rPr>
        <w:t xml:space="preserve">  </w:t>
      </w:r>
    </w:p>
    <w:p w14:paraId="0599C0E1" w14:textId="77777777" w:rsidR="007468CD" w:rsidRPr="007468CD" w:rsidRDefault="007468CD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</w:pPr>
    </w:p>
    <w:p w14:paraId="76893148" w14:textId="77777777" w:rsidR="007468CD" w:rsidRPr="0057787B" w:rsidRDefault="007468CD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</w:pPr>
      <w:r w:rsidRPr="0057787B"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  <w:t>For general questions about IRB issues, please contact:</w:t>
      </w:r>
    </w:p>
    <w:p w14:paraId="0834842E" w14:textId="77777777" w:rsidR="007468CD" w:rsidRPr="007468CD" w:rsidRDefault="007468CD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</w:pPr>
    </w:p>
    <w:p w14:paraId="43DF4B9D" w14:textId="2073D33F" w:rsidR="0057787B" w:rsidRDefault="007468CD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</w:pPr>
      <w:r w:rsidRPr="0057787B"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  <w:t>Sarah Anderson</w:t>
      </w:r>
    </w:p>
    <w:p w14:paraId="61BF9746" w14:textId="22CD9524" w:rsidR="007468CD" w:rsidRPr="0057787B" w:rsidRDefault="007468CD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</w:pPr>
      <w:r w:rsidRPr="0057787B"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  <w:t>MPH, Senior Research Coordinator</w:t>
      </w:r>
    </w:p>
    <w:p w14:paraId="0E1B4BF9" w14:textId="22474277" w:rsidR="007468CD" w:rsidRPr="0057787B" w:rsidRDefault="007468CD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</w:pPr>
      <w:r w:rsidRPr="0057787B"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  <w:t xml:space="preserve">617-636-3865 </w:t>
      </w:r>
    </w:p>
    <w:p w14:paraId="483E4661" w14:textId="77777777" w:rsidR="007468CD" w:rsidRPr="007468CD" w:rsidRDefault="00EF3797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</w:pPr>
      <w:hyperlink r:id="rId7" w:history="1">
        <w:r w:rsidR="007468CD" w:rsidRPr="005F577F">
          <w:rPr>
            <w:rStyle w:val="Hyperlink"/>
            <w:rFonts w:eastAsia="Times New Roman" w:cstheme="minorHAnsi"/>
            <w:b/>
            <w:bCs/>
            <w:sz w:val="24"/>
            <w:szCs w:val="24"/>
            <w:bdr w:val="none" w:sz="0" w:space="0" w:color="auto" w:frame="1"/>
          </w:rPr>
          <w:t>sarah.anderson@tufts.edu</w:t>
        </w:r>
      </w:hyperlink>
      <w:r w:rsidR="007468CD" w:rsidRPr="007468C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</w:p>
    <w:p w14:paraId="181ED68D" w14:textId="68648F17" w:rsidR="007468CD" w:rsidRPr="0057787B" w:rsidRDefault="007468CD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</w:pPr>
      <w:r w:rsidRPr="0057787B"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  <w:t xml:space="preserve">or </w:t>
      </w:r>
    </w:p>
    <w:p w14:paraId="5FE52DA1" w14:textId="06F8563B" w:rsidR="0057787B" w:rsidRDefault="007468CD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</w:pPr>
      <w:r w:rsidRPr="0057787B"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  <w:t>Ann-Marie Billig</w:t>
      </w:r>
    </w:p>
    <w:p w14:paraId="7219947E" w14:textId="4161CC3E" w:rsidR="007468CD" w:rsidRPr="0057787B" w:rsidRDefault="007468CD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</w:pPr>
      <w:r w:rsidRPr="0057787B"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  <w:t>Research Affairs Specialist</w:t>
      </w:r>
    </w:p>
    <w:p w14:paraId="5A62AB98" w14:textId="77777777" w:rsidR="007468CD" w:rsidRPr="0057787B" w:rsidRDefault="007468CD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</w:pPr>
      <w:r w:rsidRPr="0057787B"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  <w:t xml:space="preserve">617-636-3715 </w:t>
      </w:r>
    </w:p>
    <w:p w14:paraId="165DCFF2" w14:textId="77777777" w:rsidR="007468CD" w:rsidRPr="007468CD" w:rsidRDefault="00EF3797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</w:pPr>
      <w:hyperlink r:id="rId8" w:history="1">
        <w:r w:rsidR="007468CD" w:rsidRPr="007468CD">
          <w:rPr>
            <w:rStyle w:val="Hyperlink"/>
            <w:rFonts w:eastAsia="Times New Roman" w:cstheme="minorHAnsi"/>
            <w:b/>
            <w:bCs/>
            <w:sz w:val="24"/>
            <w:szCs w:val="24"/>
            <w:bdr w:val="none" w:sz="0" w:space="0" w:color="auto" w:frame="1"/>
          </w:rPr>
          <w:t>Ann-Marie.Billig@tufts.edu</w:t>
        </w:r>
      </w:hyperlink>
      <w:r w:rsidR="007468CD" w:rsidRPr="007468C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 xml:space="preserve"> </w:t>
      </w:r>
    </w:p>
    <w:p w14:paraId="27FF35B5" w14:textId="77777777" w:rsidR="007468CD" w:rsidRPr="005F577F" w:rsidRDefault="007468CD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</w:p>
    <w:p w14:paraId="04BC1C7A" w14:textId="7F76B559" w:rsidR="007468CD" w:rsidRDefault="007468CD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5F577F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Your Principal Investigator/ Professor should be your primary source of information about how to develop a realistic protocol and how to go about getting the protocol approved by the IRB.</w:t>
      </w:r>
      <w:r w:rsidRPr="005F577F">
        <w:rPr>
          <w:rFonts w:eastAsia="Times New Roman" w:cstheme="minorHAnsi"/>
          <w:color w:val="444444"/>
          <w:sz w:val="24"/>
          <w:szCs w:val="24"/>
        </w:rPr>
        <w:t xml:space="preserve">  A student may not be listed as the principal investigator (PI).  The PI must be a Tufts </w:t>
      </w:r>
      <w:r w:rsidRPr="005F577F">
        <w:rPr>
          <w:rFonts w:eastAsia="Times New Roman" w:cstheme="minorHAnsi"/>
          <w:color w:val="444444"/>
          <w:sz w:val="24"/>
          <w:szCs w:val="24"/>
        </w:rPr>
        <w:lastRenderedPageBreak/>
        <w:t>faculty member. The student may be listed as a co-investigator, but your PI has primary responsibility regarding IRB issues.</w:t>
      </w:r>
    </w:p>
    <w:p w14:paraId="08181823" w14:textId="77777777" w:rsidR="00D5251E" w:rsidRPr="005F577F" w:rsidRDefault="00D5251E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</w:p>
    <w:p w14:paraId="39132F0F" w14:textId="42834455" w:rsidR="007468CD" w:rsidRPr="007468CD" w:rsidRDefault="007468CD" w:rsidP="0084765B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5F577F">
        <w:rPr>
          <w:rFonts w:eastAsia="Times New Roman" w:cstheme="minorHAnsi"/>
          <w:color w:val="444444"/>
          <w:sz w:val="24"/>
          <w:szCs w:val="24"/>
        </w:rPr>
        <w:t xml:space="preserve">There are IRB educational requirements that need to be completed by all students engaged in human subject </w:t>
      </w:r>
      <w:r w:rsidR="00D5251E" w:rsidRPr="005F577F">
        <w:rPr>
          <w:rFonts w:eastAsia="Times New Roman" w:cstheme="minorHAnsi"/>
          <w:color w:val="444444"/>
          <w:sz w:val="24"/>
          <w:szCs w:val="24"/>
        </w:rPr>
        <w:t>research and</w:t>
      </w:r>
      <w:r w:rsidRPr="005F577F">
        <w:rPr>
          <w:rFonts w:eastAsia="Times New Roman" w:cstheme="minorHAnsi"/>
          <w:color w:val="444444"/>
          <w:sz w:val="24"/>
          <w:szCs w:val="24"/>
        </w:rPr>
        <w:t xml:space="preserve"> should be completed prior to submitting a protocol to the IRB</w:t>
      </w:r>
      <w:r w:rsidR="0057787B">
        <w:rPr>
          <w:rFonts w:eastAsia="Times New Roman" w:cstheme="minorHAnsi"/>
          <w:color w:val="444444"/>
          <w:sz w:val="24"/>
          <w:szCs w:val="24"/>
        </w:rPr>
        <w:t xml:space="preserve">, including </w:t>
      </w:r>
      <w:hyperlink r:id="rId9" w:history="1">
        <w:r w:rsidR="0057787B" w:rsidRPr="00E87CCE">
          <w:rPr>
            <w:rStyle w:val="Hyperlink"/>
            <w:rFonts w:eastAsia="Times New Roman" w:cstheme="minorHAnsi"/>
            <w:sz w:val="24"/>
            <w:szCs w:val="24"/>
          </w:rPr>
          <w:t>Collaborative Institutional Training Initiative</w:t>
        </w:r>
      </w:hyperlink>
      <w:r w:rsidR="0057787B" w:rsidRPr="0057787B">
        <w:rPr>
          <w:rFonts w:eastAsia="Times New Roman" w:cstheme="minorHAnsi"/>
          <w:color w:val="444444"/>
          <w:sz w:val="24"/>
          <w:szCs w:val="24"/>
        </w:rPr>
        <w:t xml:space="preserve"> (CITI Program)</w:t>
      </w:r>
      <w:r w:rsidR="0057787B">
        <w:rPr>
          <w:rFonts w:eastAsia="Times New Roman" w:cstheme="minorHAnsi"/>
          <w:color w:val="444444"/>
          <w:sz w:val="24"/>
          <w:szCs w:val="24"/>
        </w:rPr>
        <w:t xml:space="preserve"> and </w:t>
      </w:r>
      <w:hyperlink r:id="rId10" w:history="1">
        <w:r w:rsidR="0057787B" w:rsidRPr="00E87CCE">
          <w:rPr>
            <w:rStyle w:val="Hyperlink"/>
            <w:rFonts w:eastAsia="Times New Roman" w:cstheme="minorHAnsi"/>
            <w:sz w:val="24"/>
            <w:szCs w:val="24"/>
          </w:rPr>
          <w:t>Good Clinical Practices</w:t>
        </w:r>
      </w:hyperlink>
      <w:r w:rsidR="0057787B">
        <w:rPr>
          <w:rFonts w:eastAsia="Times New Roman" w:cstheme="minorHAnsi"/>
          <w:color w:val="444444"/>
          <w:sz w:val="24"/>
          <w:szCs w:val="24"/>
        </w:rPr>
        <w:t xml:space="preserve"> (GCP)</w:t>
      </w:r>
      <w:r w:rsidRPr="005F577F">
        <w:rPr>
          <w:rFonts w:eastAsia="Times New Roman" w:cstheme="minorHAnsi"/>
          <w:color w:val="444444"/>
          <w:sz w:val="24"/>
          <w:szCs w:val="24"/>
        </w:rPr>
        <w:t xml:space="preserve">.  These are reading modules that can be viewed on your time, with follow-up exams. Please email </w:t>
      </w:r>
      <w:r w:rsidRPr="007468CD">
        <w:rPr>
          <w:rFonts w:eastAsia="Times New Roman" w:cstheme="minorHAnsi"/>
          <w:color w:val="444444"/>
          <w:sz w:val="24"/>
          <w:szCs w:val="24"/>
        </w:rPr>
        <w:t>Ann-Marie</w:t>
      </w:r>
      <w:r w:rsidRPr="005F577F">
        <w:rPr>
          <w:rFonts w:eastAsia="Times New Roman" w:cstheme="minorHAnsi"/>
          <w:color w:val="444444"/>
          <w:sz w:val="24"/>
          <w:szCs w:val="24"/>
        </w:rPr>
        <w:t xml:space="preserve"> for instructions on how to access these trainings within the Tufts Learning Management System.</w:t>
      </w:r>
    </w:p>
    <w:p w14:paraId="1040CC14" w14:textId="64CDA042" w:rsidR="00E87CCE" w:rsidRDefault="007468CD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84765B">
        <w:rPr>
          <w:rFonts w:eastAsia="Times New Roman" w:cstheme="minorHAnsi"/>
          <w:b/>
          <w:bCs/>
          <w:color w:val="444444"/>
          <w:sz w:val="24"/>
          <w:szCs w:val="24"/>
        </w:rPr>
        <w:t>T</w:t>
      </w:r>
      <w:r w:rsidR="00E87CCE" w:rsidRPr="0084765B">
        <w:rPr>
          <w:rFonts w:eastAsia="Times New Roman" w:cstheme="minorHAnsi"/>
          <w:b/>
          <w:bCs/>
          <w:color w:val="444444"/>
          <w:sz w:val="24"/>
          <w:szCs w:val="24"/>
        </w:rPr>
        <w:t>o</w:t>
      </w:r>
      <w:r w:rsidRPr="0084765B">
        <w:rPr>
          <w:rFonts w:eastAsia="Times New Roman" w:cstheme="minorHAnsi"/>
          <w:b/>
          <w:bCs/>
          <w:color w:val="444444"/>
          <w:sz w:val="24"/>
          <w:szCs w:val="24"/>
        </w:rPr>
        <w:t xml:space="preserve"> get started</w:t>
      </w:r>
      <w:r w:rsidRPr="007468CD">
        <w:rPr>
          <w:rFonts w:eastAsia="Times New Roman" w:cstheme="minorHAnsi"/>
          <w:color w:val="444444"/>
          <w:sz w:val="24"/>
          <w:szCs w:val="24"/>
        </w:rPr>
        <w:t xml:space="preserve">, please view the annotated </w:t>
      </w:r>
      <w:hyperlink r:id="rId11" w:history="1">
        <w:r w:rsidR="00E87CCE">
          <w:rPr>
            <w:rStyle w:val="Hyperlink"/>
            <w:rFonts w:eastAsia="Times New Roman" w:cstheme="minorHAnsi"/>
            <w:sz w:val="24"/>
            <w:szCs w:val="24"/>
          </w:rPr>
          <w:t>IRB protocol templates</w:t>
        </w:r>
      </w:hyperlink>
      <w:r w:rsidRPr="007468CD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E87CCE">
        <w:rPr>
          <w:rFonts w:eastAsia="Times New Roman" w:cstheme="minorHAnsi"/>
          <w:color w:val="444444"/>
          <w:sz w:val="24"/>
          <w:szCs w:val="24"/>
        </w:rPr>
        <w:t xml:space="preserve"> and </w:t>
      </w:r>
      <w:hyperlink r:id="rId12" w:history="1">
        <w:r w:rsidR="00E87CCE" w:rsidRPr="00E87CCE">
          <w:rPr>
            <w:rStyle w:val="Hyperlink"/>
            <w:rFonts w:eastAsia="Times New Roman" w:cstheme="minorHAnsi"/>
            <w:sz w:val="24"/>
            <w:szCs w:val="24"/>
          </w:rPr>
          <w:t>study design checklists</w:t>
        </w:r>
      </w:hyperlink>
      <w:r w:rsidR="00E87CCE">
        <w:rPr>
          <w:rFonts w:eastAsia="Times New Roman" w:cstheme="minorHAnsi"/>
          <w:color w:val="444444"/>
          <w:sz w:val="24"/>
          <w:szCs w:val="24"/>
        </w:rPr>
        <w:t>, and select</w:t>
      </w:r>
      <w:r w:rsidRPr="007468CD">
        <w:rPr>
          <w:rFonts w:eastAsia="Times New Roman" w:cstheme="minorHAnsi"/>
          <w:color w:val="444444"/>
          <w:sz w:val="24"/>
          <w:szCs w:val="24"/>
        </w:rPr>
        <w:t xml:space="preserve"> that best fits your proposed study activities. </w:t>
      </w:r>
    </w:p>
    <w:p w14:paraId="3F89F7BE" w14:textId="4A3C5D7E" w:rsidR="00E87CCE" w:rsidRDefault="00E87CCE" w:rsidP="00E87CC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</w:rPr>
        <w:t xml:space="preserve">For Student Research Fellowship Program participants, please follow the </w:t>
      </w:r>
      <w:hyperlink r:id="rId13" w:history="1">
        <w:r w:rsidR="00A8256E" w:rsidRPr="007E1E9F">
          <w:rPr>
            <w:rStyle w:val="Hyperlink"/>
            <w:rFonts w:eastAsia="Times New Roman" w:cstheme="minorHAnsi"/>
            <w:sz w:val="24"/>
            <w:szCs w:val="24"/>
          </w:rPr>
          <w:t>SRFP Research Approval Flow Chart</w:t>
        </w:r>
      </w:hyperlink>
    </w:p>
    <w:p w14:paraId="6890C016" w14:textId="75F68478" w:rsidR="00A8256E" w:rsidRDefault="00A8256E" w:rsidP="00E87CC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</w:rPr>
        <w:t xml:space="preserve">For MS/DSc students, please follow the </w:t>
      </w:r>
      <w:hyperlink r:id="rId14" w:history="1">
        <w:r w:rsidRPr="007E1E9F">
          <w:rPr>
            <w:rStyle w:val="Hyperlink"/>
            <w:rFonts w:eastAsia="Times New Roman" w:cstheme="minorHAnsi"/>
            <w:sz w:val="24"/>
            <w:szCs w:val="24"/>
          </w:rPr>
          <w:t>MS/DSc Research Approval Flow Chart</w:t>
        </w:r>
      </w:hyperlink>
    </w:p>
    <w:p w14:paraId="7B699972" w14:textId="43BF5481" w:rsidR="0084765B" w:rsidRPr="00E87CCE" w:rsidRDefault="0084765B" w:rsidP="00E87CC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</w:rPr>
        <w:t xml:space="preserve">For all other research, work with </w:t>
      </w:r>
      <w:hyperlink r:id="rId15" w:history="1">
        <w:r w:rsidRPr="0084765B">
          <w:rPr>
            <w:rStyle w:val="Hyperlink"/>
            <w:rFonts w:eastAsia="Times New Roman" w:cstheme="minorHAnsi"/>
            <w:sz w:val="24"/>
            <w:szCs w:val="24"/>
          </w:rPr>
          <w:t>Biostatistics</w:t>
        </w:r>
      </w:hyperlink>
      <w:r>
        <w:rPr>
          <w:rFonts w:eastAsia="Times New Roman" w:cstheme="minorHAnsi"/>
          <w:color w:val="444444"/>
          <w:sz w:val="24"/>
          <w:szCs w:val="24"/>
        </w:rPr>
        <w:t xml:space="preserve"> and your study team to complete the protocol template</w:t>
      </w:r>
    </w:p>
    <w:p w14:paraId="126059B7" w14:textId="77777777" w:rsidR="00E87CCE" w:rsidRDefault="00E87CCE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</w:p>
    <w:p w14:paraId="5C3282FF" w14:textId="68D1852E" w:rsidR="007468CD" w:rsidRPr="007468CD" w:rsidRDefault="007468CD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7468CD">
        <w:rPr>
          <w:rFonts w:eastAsia="Times New Roman" w:cstheme="minorHAnsi"/>
          <w:color w:val="444444"/>
          <w:sz w:val="24"/>
          <w:szCs w:val="24"/>
        </w:rPr>
        <w:t xml:space="preserve">Once you have completed the protocol template to the best of your abilities, please email it to </w:t>
      </w:r>
      <w:hyperlink r:id="rId16" w:history="1">
        <w:r w:rsidR="00A8256E">
          <w:rPr>
            <w:rStyle w:val="Hyperlink"/>
            <w:rFonts w:eastAsia="Times New Roman" w:cstheme="minorHAnsi"/>
            <w:sz w:val="24"/>
            <w:szCs w:val="24"/>
          </w:rPr>
          <w:t>Ann-Marie Billig</w:t>
        </w:r>
      </w:hyperlink>
      <w:r w:rsidRPr="007468CD">
        <w:rPr>
          <w:rFonts w:eastAsia="Times New Roman" w:cstheme="minorHAnsi"/>
          <w:color w:val="444444"/>
          <w:sz w:val="24"/>
          <w:szCs w:val="24"/>
        </w:rPr>
        <w:t>/</w:t>
      </w:r>
      <w:hyperlink r:id="rId17" w:history="1">
        <w:r w:rsidR="00A8256E">
          <w:rPr>
            <w:rStyle w:val="Hyperlink"/>
            <w:rFonts w:eastAsia="Times New Roman" w:cstheme="minorHAnsi"/>
            <w:sz w:val="24"/>
            <w:szCs w:val="24"/>
          </w:rPr>
          <w:t>Sarah Anderson</w:t>
        </w:r>
      </w:hyperlink>
      <w:r w:rsidR="00A8256E">
        <w:rPr>
          <w:rFonts w:eastAsia="Times New Roman" w:cstheme="minorHAnsi"/>
          <w:color w:val="444444"/>
          <w:sz w:val="24"/>
          <w:szCs w:val="24"/>
        </w:rPr>
        <w:t>, who will assist you with the IRB submission process, including the preparation of any needed</w:t>
      </w:r>
      <w:r w:rsidRPr="007468CD">
        <w:rPr>
          <w:rFonts w:eastAsia="Times New Roman" w:cstheme="minorHAnsi"/>
          <w:color w:val="444444"/>
          <w:sz w:val="24"/>
          <w:szCs w:val="24"/>
        </w:rPr>
        <w:t xml:space="preserve"> supplementary documents</w:t>
      </w:r>
      <w:r w:rsidR="00A8256E">
        <w:rPr>
          <w:rFonts w:eastAsia="Times New Roman" w:cstheme="minorHAnsi"/>
          <w:color w:val="444444"/>
          <w:sz w:val="24"/>
          <w:szCs w:val="24"/>
        </w:rPr>
        <w:t>, collection of conflict of interest forms, and uploading all documents to eIRB</w:t>
      </w:r>
      <w:r w:rsidRPr="007468CD">
        <w:rPr>
          <w:rFonts w:eastAsia="Times New Roman" w:cstheme="minorHAnsi"/>
          <w:color w:val="444444"/>
          <w:sz w:val="24"/>
          <w:szCs w:val="24"/>
        </w:rPr>
        <w:t xml:space="preserve">. </w:t>
      </w:r>
    </w:p>
    <w:p w14:paraId="18D858CA" w14:textId="77777777" w:rsidR="007468CD" w:rsidRPr="007468CD" w:rsidRDefault="007468CD" w:rsidP="007468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</w:p>
    <w:p w14:paraId="12C1EF22" w14:textId="77777777" w:rsidR="0084765B" w:rsidRDefault="007468CD" w:rsidP="00A825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44444"/>
          <w:sz w:val="24"/>
          <w:szCs w:val="24"/>
        </w:rPr>
      </w:pPr>
      <w:r w:rsidRPr="005F577F">
        <w:rPr>
          <w:rFonts w:eastAsia="Times New Roman" w:cstheme="minorHAnsi"/>
          <w:color w:val="444444"/>
          <w:sz w:val="24"/>
          <w:szCs w:val="24"/>
        </w:rPr>
        <w:t xml:space="preserve">After </w:t>
      </w:r>
      <w:r w:rsidR="0084765B">
        <w:rPr>
          <w:rFonts w:eastAsia="Times New Roman" w:cstheme="minorHAnsi"/>
          <w:color w:val="444444"/>
          <w:sz w:val="24"/>
          <w:szCs w:val="24"/>
        </w:rPr>
        <w:t>your study has been submitted</w:t>
      </w:r>
      <w:r w:rsidRPr="007468CD">
        <w:rPr>
          <w:rFonts w:eastAsia="Times New Roman" w:cstheme="minorHAnsi"/>
          <w:color w:val="444444"/>
          <w:sz w:val="24"/>
          <w:szCs w:val="24"/>
        </w:rPr>
        <w:t xml:space="preserve">, the IRB will review the study </w:t>
      </w:r>
      <w:r w:rsidR="0084765B">
        <w:rPr>
          <w:rFonts w:eastAsia="Times New Roman" w:cstheme="minorHAnsi"/>
          <w:color w:val="444444"/>
          <w:sz w:val="24"/>
          <w:szCs w:val="24"/>
        </w:rPr>
        <w:t>package</w:t>
      </w:r>
      <w:r w:rsidR="00863F4E">
        <w:rPr>
          <w:rFonts w:eastAsia="Times New Roman" w:cstheme="minorHAnsi"/>
          <w:color w:val="444444"/>
          <w:sz w:val="24"/>
          <w:szCs w:val="24"/>
        </w:rPr>
        <w:t>.</w:t>
      </w:r>
      <w:r w:rsidRPr="007468CD">
        <w:rPr>
          <w:rFonts w:eastAsia="Times New Roman" w:cstheme="minorHAnsi"/>
          <w:color w:val="444444"/>
          <w:sz w:val="24"/>
          <w:szCs w:val="24"/>
        </w:rPr>
        <w:t xml:space="preserve"> A</w:t>
      </w:r>
      <w:r w:rsidR="00863F4E">
        <w:rPr>
          <w:rFonts w:eastAsia="Times New Roman" w:cstheme="minorHAnsi"/>
          <w:color w:val="444444"/>
          <w:sz w:val="24"/>
          <w:szCs w:val="24"/>
        </w:rPr>
        <w:t>f</w:t>
      </w:r>
      <w:r w:rsidRPr="007468CD">
        <w:rPr>
          <w:rFonts w:eastAsia="Times New Roman" w:cstheme="minorHAnsi"/>
          <w:color w:val="444444"/>
          <w:sz w:val="24"/>
          <w:szCs w:val="24"/>
        </w:rPr>
        <w:t xml:space="preserve">ter </w:t>
      </w:r>
      <w:r w:rsidRPr="005F577F">
        <w:rPr>
          <w:rFonts w:eastAsia="Times New Roman" w:cstheme="minorHAnsi"/>
          <w:color w:val="444444"/>
          <w:sz w:val="24"/>
          <w:szCs w:val="24"/>
        </w:rPr>
        <w:t xml:space="preserve">reviewing the required documents, the IRB office will decide whether your protocol requires full IRB review or not. Full IRB review normally takes </w:t>
      </w:r>
      <w:r w:rsidRPr="007468CD">
        <w:rPr>
          <w:rFonts w:eastAsia="Times New Roman" w:cstheme="minorHAnsi"/>
          <w:color w:val="444444"/>
          <w:sz w:val="24"/>
          <w:szCs w:val="24"/>
        </w:rPr>
        <w:t>six</w:t>
      </w:r>
      <w:r w:rsidRPr="005F577F">
        <w:rPr>
          <w:rFonts w:eastAsia="Times New Roman" w:cstheme="minorHAnsi"/>
          <w:color w:val="444444"/>
          <w:sz w:val="24"/>
          <w:szCs w:val="24"/>
        </w:rPr>
        <w:t xml:space="preserve"> to </w:t>
      </w:r>
      <w:r w:rsidRPr="007468CD">
        <w:rPr>
          <w:rFonts w:eastAsia="Times New Roman" w:cstheme="minorHAnsi"/>
          <w:color w:val="444444"/>
          <w:sz w:val="24"/>
          <w:szCs w:val="24"/>
        </w:rPr>
        <w:t>eight</w:t>
      </w:r>
      <w:r w:rsidRPr="005F577F">
        <w:rPr>
          <w:rFonts w:eastAsia="Times New Roman" w:cstheme="minorHAnsi"/>
          <w:color w:val="444444"/>
          <w:sz w:val="24"/>
          <w:szCs w:val="24"/>
        </w:rPr>
        <w:t xml:space="preserve"> weeks, while a determination of exemption can often be done in about two</w:t>
      </w:r>
      <w:r w:rsidRPr="007468CD">
        <w:rPr>
          <w:rFonts w:eastAsia="Times New Roman" w:cstheme="minorHAnsi"/>
          <w:color w:val="444444"/>
          <w:sz w:val="24"/>
          <w:szCs w:val="24"/>
        </w:rPr>
        <w:t xml:space="preserve">- four </w:t>
      </w:r>
      <w:r w:rsidRPr="005F577F">
        <w:rPr>
          <w:rFonts w:eastAsia="Times New Roman" w:cstheme="minorHAnsi"/>
          <w:color w:val="444444"/>
          <w:sz w:val="24"/>
          <w:szCs w:val="24"/>
        </w:rPr>
        <w:t>weeks.</w:t>
      </w:r>
      <w:r w:rsidR="0084765B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84765B">
        <w:rPr>
          <w:rFonts w:eastAsia="Times New Roman" w:cstheme="minorHAnsi"/>
          <w:b/>
          <w:bCs/>
          <w:color w:val="444444"/>
          <w:sz w:val="24"/>
          <w:szCs w:val="24"/>
        </w:rPr>
        <w:t>Timeliness of a</w:t>
      </w:r>
      <w:r w:rsidRPr="007468CD">
        <w:rPr>
          <w:rFonts w:eastAsia="Times New Roman" w:cstheme="minorHAnsi"/>
          <w:b/>
          <w:bCs/>
          <w:color w:val="444444"/>
          <w:sz w:val="24"/>
          <w:szCs w:val="24"/>
        </w:rPr>
        <w:t>pproval of your study to begin research activities will greatly depend on study team responsiveness to DRA</w:t>
      </w:r>
      <w:r w:rsidR="00863F4E">
        <w:rPr>
          <w:rFonts w:eastAsia="Times New Roman" w:cstheme="minorHAnsi"/>
          <w:b/>
          <w:bCs/>
          <w:color w:val="444444"/>
          <w:sz w:val="24"/>
          <w:szCs w:val="24"/>
        </w:rPr>
        <w:t>’s emails regarding IRB</w:t>
      </w:r>
      <w:r w:rsidRPr="007468CD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r w:rsidR="00863F4E">
        <w:rPr>
          <w:rFonts w:eastAsia="Times New Roman" w:cstheme="minorHAnsi"/>
          <w:b/>
          <w:bCs/>
          <w:color w:val="444444"/>
          <w:sz w:val="24"/>
          <w:szCs w:val="24"/>
        </w:rPr>
        <w:t>queries</w:t>
      </w:r>
      <w:r w:rsidRPr="007468CD">
        <w:rPr>
          <w:rFonts w:eastAsia="Times New Roman" w:cstheme="minorHAnsi"/>
          <w:b/>
          <w:bCs/>
          <w:color w:val="444444"/>
          <w:sz w:val="24"/>
          <w:szCs w:val="24"/>
        </w:rPr>
        <w:t xml:space="preserve">! </w:t>
      </w:r>
    </w:p>
    <w:p w14:paraId="512EB223" w14:textId="77777777" w:rsidR="0084765B" w:rsidRDefault="0084765B" w:rsidP="00A8256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44444"/>
          <w:sz w:val="24"/>
          <w:szCs w:val="24"/>
        </w:rPr>
      </w:pPr>
    </w:p>
    <w:p w14:paraId="541D5FDE" w14:textId="40E142A0" w:rsidR="005F577F" w:rsidRPr="0084765B" w:rsidRDefault="0084765B" w:rsidP="0084765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</w:rPr>
        <w:t xml:space="preserve">Upon IRB approval, DRA will schedule a study initiation visit with your team to review the IRB-approved protocol and study documents and discuss study logistics. </w:t>
      </w:r>
    </w:p>
    <w:sectPr w:rsidR="005F577F" w:rsidRPr="0084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294"/>
    <w:multiLevelType w:val="hybridMultilevel"/>
    <w:tmpl w:val="DD7C7122"/>
    <w:lvl w:ilvl="0" w:tplc="83E6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8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08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6F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E9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EC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03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62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B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84066D"/>
    <w:multiLevelType w:val="hybridMultilevel"/>
    <w:tmpl w:val="8CD09014"/>
    <w:lvl w:ilvl="0" w:tplc="EB48B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4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87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8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CB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6A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65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68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4D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1072B8"/>
    <w:multiLevelType w:val="hybridMultilevel"/>
    <w:tmpl w:val="AD8A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7F"/>
    <w:rsid w:val="00025AA4"/>
    <w:rsid w:val="00053A0A"/>
    <w:rsid w:val="0057787B"/>
    <w:rsid w:val="005F577F"/>
    <w:rsid w:val="007240F1"/>
    <w:rsid w:val="007468CD"/>
    <w:rsid w:val="007E1E9F"/>
    <w:rsid w:val="0084765B"/>
    <w:rsid w:val="00863F4E"/>
    <w:rsid w:val="00A8256E"/>
    <w:rsid w:val="00AE0D05"/>
    <w:rsid w:val="00D5251E"/>
    <w:rsid w:val="00E87CCE"/>
    <w:rsid w:val="00E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BDC9"/>
  <w15:chartTrackingRefBased/>
  <w15:docId w15:val="{95FF986C-F715-428E-B3DA-89AF4326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5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7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F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577F"/>
    <w:rPr>
      <w:b/>
      <w:bCs/>
    </w:rPr>
  </w:style>
  <w:style w:type="character" w:styleId="Hyperlink">
    <w:name w:val="Hyperlink"/>
    <w:basedOn w:val="DefaultParagraphFont"/>
    <w:uiPriority w:val="99"/>
    <w:unhideWhenUsed/>
    <w:rsid w:val="005F577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0D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0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D0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Marie.Billig@tufts.edu" TargetMode="External"/><Relationship Id="rId13" Type="http://schemas.openxmlformats.org/officeDocument/2006/relationships/hyperlink" Target="https://tufts.box.com/s/kcah95w7fdoidsifaeo64ozxkcrvcpb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anderson@tufts.edu" TargetMode="External"/><Relationship Id="rId12" Type="http://schemas.openxmlformats.org/officeDocument/2006/relationships/hyperlink" Target="https://sites.tufts.edu/dentalresearch/resources/protocol-development/" TargetMode="External"/><Relationship Id="rId17" Type="http://schemas.openxmlformats.org/officeDocument/2006/relationships/hyperlink" Target="mailto:Sarah.Anderson@tufts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-marie.billig@tufts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ceprovost.tufts.edu/about-sber-irb" TargetMode="External"/><Relationship Id="rId11" Type="http://schemas.openxmlformats.org/officeDocument/2006/relationships/hyperlink" Target="https://sites.tufts.edu/dentalresearch/resources/protocol-development/" TargetMode="External"/><Relationship Id="rId5" Type="http://schemas.openxmlformats.org/officeDocument/2006/relationships/hyperlink" Target="https://viceprovost.tufts.edu/about-tufts-irb" TargetMode="External"/><Relationship Id="rId15" Type="http://schemas.openxmlformats.org/officeDocument/2006/relationships/hyperlink" Target="https://sites.tufts.edu/dentalresearch/resources/biostatistics/" TargetMode="External"/><Relationship Id="rId10" Type="http://schemas.openxmlformats.org/officeDocument/2006/relationships/hyperlink" Target="https://tufts.app.box.com/s/yj5vrp5p5c23w9yym6ugq0kd5b2d6g6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ufts.app.box.com/s/4bg0k94dt9kwhaztopnfff78huus20g5" TargetMode="External"/><Relationship Id="rId14" Type="http://schemas.openxmlformats.org/officeDocument/2006/relationships/hyperlink" Target="https://tufts.box.com/s/uxrni7kpigu1nx1f64ojasdhxscnp0r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Billig, Ann-Marie</dc:creator>
  <cp:keywords/>
  <dc:description/>
  <cp:lastModifiedBy>Magnarelli, Christopher</cp:lastModifiedBy>
  <cp:revision>2</cp:revision>
  <dcterms:created xsi:type="dcterms:W3CDTF">2022-06-13T18:02:00Z</dcterms:created>
  <dcterms:modified xsi:type="dcterms:W3CDTF">2022-06-13T18:02:00Z</dcterms:modified>
</cp:coreProperties>
</file>